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b/>
          <w:bCs/>
          <w:kern w:val="2"/>
          <w:sz w:val="36"/>
          <w:szCs w:val="36"/>
          <w:lang w:val="en-US" w:eastAsia="zh-CN" w:bidi="ar-SA"/>
        </w:rPr>
        <w:id w:val="147481620"/>
        <w:docPartObj>
          <w:docPartGallery w:val="Table of Contents"/>
          <w:docPartUnique/>
        </w:docPartObj>
      </w:sdtPr>
      <w:sdtEndPr>
        <w:rPr>
          <w:rFonts w:ascii="Times New Roman" w:hAnsi="Times New Roman" w:eastAsia="宋体" w:cs="Times New Roman"/>
          <w:b/>
          <w:bCs/>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b/>
              <w:bCs/>
              <w:sz w:val="36"/>
              <w:szCs w:val="36"/>
            </w:rPr>
          </w:pPr>
          <w:bookmarkStart w:id="556" w:name="_GoBack"/>
          <w:bookmarkEnd w:id="556"/>
          <w:bookmarkStart w:id="0" w:name="_Toc17333_WPSOffice_Type1"/>
          <w:r>
            <w:rPr>
              <w:rFonts w:ascii="宋体" w:hAnsi="宋体" w:eastAsia="宋体"/>
              <w:b/>
              <w:bCs/>
              <w:sz w:val="36"/>
              <w:szCs w:val="36"/>
            </w:rPr>
            <w:t>目录</w:t>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_Toc9504_WPSOffice_Level1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5d5448a3-b567-4075-975a-217edfeda6c6}"/>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1</w:t>
              </w:r>
              <w:r>
                <w:rPr>
                  <w:rFonts w:hint="default" w:ascii="Times New Roman" w:hAnsi="Times New Roman" w:eastAsia="宋体" w:cs="Times New Roman"/>
                  <w:b/>
                  <w:bCs/>
                  <w:sz w:val="28"/>
                  <w:szCs w:val="28"/>
                </w:rPr>
                <w:t>总则</w:t>
              </w:r>
            </w:sdtContent>
          </w:sdt>
          <w:r>
            <w:rPr>
              <w:b/>
              <w:bCs/>
              <w:sz w:val="28"/>
              <w:szCs w:val="28"/>
            </w:rPr>
            <w:tab/>
          </w:r>
          <w:bookmarkStart w:id="1" w:name="_Toc9504_WPSOffice_Level1Page"/>
          <w:r>
            <w:rPr>
              <w:b/>
              <w:bCs/>
              <w:sz w:val="28"/>
              <w:szCs w:val="28"/>
            </w:rPr>
            <w:t>1</w:t>
          </w:r>
          <w:bookmarkEnd w:id="1"/>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_Toc17333_WPSOffice_Level1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ce3716cb-9815-4ce5-a50e-ff3fa9154967}"/>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1.1</w:t>
              </w:r>
              <w:r>
                <w:rPr>
                  <w:rFonts w:hint="default" w:ascii="Times New Roman" w:hAnsi="Times New Roman" w:eastAsia="宋体" w:cs="Times New Roman"/>
                  <w:sz w:val="24"/>
                  <w:szCs w:val="24"/>
                </w:rPr>
                <w:t>编制目的</w:t>
              </w:r>
            </w:sdtContent>
          </w:sdt>
          <w:r>
            <w:rPr>
              <w:sz w:val="24"/>
              <w:szCs w:val="24"/>
            </w:rPr>
            <w:tab/>
          </w:r>
          <w:bookmarkStart w:id="2" w:name="_Toc17333_WPSOffice_Level1Page"/>
          <w:r>
            <w:rPr>
              <w:sz w:val="24"/>
              <w:szCs w:val="24"/>
            </w:rPr>
            <w:t>1</w:t>
          </w:r>
          <w:bookmarkEnd w:id="2"/>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_Toc30516_WPSOffice_Level1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4aa9f09a-1d4c-4571-9f93-2c845be1bc74}"/>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1.2</w:t>
              </w:r>
              <w:r>
                <w:rPr>
                  <w:rFonts w:hint="default" w:ascii="Times New Roman" w:hAnsi="Times New Roman" w:eastAsia="宋体" w:cs="Times New Roman"/>
                  <w:sz w:val="24"/>
                  <w:szCs w:val="24"/>
                </w:rPr>
                <w:t>编制依据</w:t>
              </w:r>
            </w:sdtContent>
          </w:sdt>
          <w:r>
            <w:rPr>
              <w:sz w:val="24"/>
              <w:szCs w:val="24"/>
            </w:rPr>
            <w:tab/>
          </w:r>
          <w:bookmarkStart w:id="3" w:name="_Toc30516_WPSOffice_Level1Page"/>
          <w:r>
            <w:rPr>
              <w:sz w:val="24"/>
              <w:szCs w:val="24"/>
            </w:rPr>
            <w:t>1</w:t>
          </w:r>
          <w:bookmarkEnd w:id="3"/>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_Toc31630_WPSOffice_Level1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582661df-d1bc-4e97-a30b-efb732eb80e6}"/>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1.3</w:t>
              </w:r>
              <w:r>
                <w:rPr>
                  <w:rFonts w:hint="default" w:ascii="Times New Roman" w:hAnsi="Times New Roman" w:eastAsia="宋体" w:cs="Times New Roman"/>
                  <w:sz w:val="24"/>
                  <w:szCs w:val="24"/>
                </w:rPr>
                <w:t>适用范围</w:t>
              </w:r>
            </w:sdtContent>
          </w:sdt>
          <w:r>
            <w:rPr>
              <w:sz w:val="24"/>
              <w:szCs w:val="24"/>
            </w:rPr>
            <w:tab/>
          </w:r>
          <w:bookmarkStart w:id="4" w:name="_Toc31630_WPSOffice_Level1Page"/>
          <w:r>
            <w:rPr>
              <w:sz w:val="24"/>
              <w:szCs w:val="24"/>
            </w:rPr>
            <w:t>3</w:t>
          </w:r>
          <w:bookmarkEnd w:id="4"/>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_Toc22447_WPSOffice_Level1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0922baf5-358a-438c-9253-40c8537e736a}"/>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1.4</w:t>
              </w:r>
              <w:r>
                <w:rPr>
                  <w:rFonts w:hint="default" w:ascii="Times New Roman" w:hAnsi="Times New Roman" w:eastAsia="宋体" w:cs="Times New Roman"/>
                  <w:sz w:val="24"/>
                  <w:szCs w:val="24"/>
                </w:rPr>
                <w:t>工作原则</w:t>
              </w:r>
            </w:sdtContent>
          </w:sdt>
          <w:r>
            <w:rPr>
              <w:sz w:val="24"/>
              <w:szCs w:val="24"/>
            </w:rPr>
            <w:tab/>
          </w:r>
          <w:bookmarkStart w:id="5" w:name="_Toc22447_WPSOffice_Level1Page"/>
          <w:r>
            <w:rPr>
              <w:sz w:val="24"/>
              <w:szCs w:val="24"/>
            </w:rPr>
            <w:t>3</w:t>
          </w:r>
          <w:bookmarkEnd w:id="5"/>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_Toc30384_WPSOffice_Level1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8246a54f-db18-4e49-99e1-67ed35a4b56d}"/>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1.5</w:t>
              </w:r>
              <w:r>
                <w:rPr>
                  <w:rFonts w:hint="default" w:ascii="Times New Roman" w:hAnsi="Times New Roman" w:eastAsia="宋体" w:cs="Times New Roman"/>
                  <w:sz w:val="24"/>
                  <w:szCs w:val="24"/>
                </w:rPr>
                <w:t>工作程序</w:t>
              </w:r>
            </w:sdtContent>
          </w:sdt>
          <w:r>
            <w:rPr>
              <w:sz w:val="24"/>
              <w:szCs w:val="24"/>
            </w:rPr>
            <w:tab/>
          </w:r>
          <w:bookmarkStart w:id="6" w:name="_Toc30384_WPSOffice_Level1Page"/>
          <w:r>
            <w:rPr>
              <w:sz w:val="24"/>
              <w:szCs w:val="24"/>
            </w:rPr>
            <w:t>4</w:t>
          </w:r>
          <w:bookmarkEnd w:id="6"/>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_Toc29363_WPSOffice_Level1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6b6074c6-39d1-455a-a9ef-cc1e9fdb2e20}"/>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1.6应急预案关系说明</w:t>
              </w:r>
            </w:sdtContent>
          </w:sdt>
          <w:r>
            <w:rPr>
              <w:sz w:val="24"/>
              <w:szCs w:val="24"/>
            </w:rPr>
            <w:tab/>
          </w:r>
          <w:bookmarkStart w:id="7" w:name="_Toc29363_WPSOffice_Level1Page"/>
          <w:r>
            <w:rPr>
              <w:sz w:val="24"/>
              <w:szCs w:val="24"/>
            </w:rPr>
            <w:t>5</w:t>
          </w:r>
          <w:bookmarkEnd w:id="7"/>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_Toc23047_WPSOffice_Level1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621f33b3-8e80-47a3-803b-eaf0ce2abb79}"/>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1.7</w:t>
              </w:r>
              <w:r>
                <w:rPr>
                  <w:rFonts w:hint="default" w:ascii="Times New Roman" w:hAnsi="Times New Roman" w:eastAsia="宋体" w:cs="Times New Roman"/>
                  <w:sz w:val="24"/>
                  <w:szCs w:val="24"/>
                </w:rPr>
                <w:t>编制内容</w:t>
              </w:r>
            </w:sdtContent>
          </w:sdt>
          <w:r>
            <w:rPr>
              <w:sz w:val="24"/>
              <w:szCs w:val="24"/>
            </w:rPr>
            <w:tab/>
          </w:r>
          <w:bookmarkStart w:id="8" w:name="_Toc23047_WPSOffice_Level1Page"/>
          <w:r>
            <w:rPr>
              <w:sz w:val="24"/>
              <w:szCs w:val="24"/>
            </w:rPr>
            <w:t>5</w:t>
          </w:r>
          <w:bookmarkEnd w:id="8"/>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_Toc7848_WPSOffice_Level1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b2efe46d-df48-4c92-b587-31082f7a87e0}"/>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1.8</w:t>
              </w:r>
              <w:r>
                <w:rPr>
                  <w:rFonts w:hint="default" w:ascii="Times New Roman" w:hAnsi="Times New Roman" w:eastAsia="宋体" w:cs="Times New Roman"/>
                  <w:sz w:val="24"/>
                  <w:szCs w:val="24"/>
                </w:rPr>
                <w:t>预案衔接</w:t>
              </w:r>
            </w:sdtContent>
          </w:sdt>
          <w:r>
            <w:rPr>
              <w:sz w:val="24"/>
              <w:szCs w:val="24"/>
            </w:rPr>
            <w:tab/>
          </w:r>
          <w:bookmarkStart w:id="9" w:name="_Toc7848_WPSOffice_Level1Page"/>
          <w:r>
            <w:rPr>
              <w:sz w:val="24"/>
              <w:szCs w:val="24"/>
            </w:rPr>
            <w:t>6</w:t>
          </w:r>
          <w:bookmarkEnd w:id="9"/>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_Toc31451_WPSOffice_Level1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2f503eb9-ecfd-4364-a962-24e59e85f3c8}"/>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2</w:t>
              </w:r>
              <w:r>
                <w:rPr>
                  <w:rFonts w:hint="default" w:ascii="Times New Roman" w:hAnsi="Times New Roman" w:eastAsia="宋体" w:cs="Times New Roman"/>
                  <w:b/>
                  <w:bCs/>
                  <w:sz w:val="28"/>
                  <w:szCs w:val="28"/>
                </w:rPr>
                <w:t>企业概况与周围环境概况</w:t>
              </w:r>
            </w:sdtContent>
          </w:sdt>
          <w:r>
            <w:rPr>
              <w:b/>
              <w:bCs/>
              <w:sz w:val="28"/>
              <w:szCs w:val="28"/>
            </w:rPr>
            <w:tab/>
          </w:r>
          <w:bookmarkStart w:id="10" w:name="_Toc31451_WPSOffice_Level1Page"/>
          <w:r>
            <w:rPr>
              <w:b/>
              <w:bCs/>
              <w:sz w:val="28"/>
              <w:szCs w:val="28"/>
            </w:rPr>
            <w:t>8</w:t>
          </w:r>
          <w:bookmarkEnd w:id="10"/>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_Toc23085_WPSOffice_Level1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a99ea12f-31fd-4080-b1c2-f1f8692f9b22}"/>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2.1</w:t>
              </w:r>
              <w:r>
                <w:rPr>
                  <w:rFonts w:hint="default" w:ascii="Times New Roman" w:hAnsi="Times New Roman" w:eastAsia="宋体" w:cs="Times New Roman"/>
                  <w:sz w:val="24"/>
                  <w:szCs w:val="24"/>
                </w:rPr>
                <w:t>企业基本情况</w:t>
              </w:r>
            </w:sdtContent>
          </w:sdt>
          <w:r>
            <w:rPr>
              <w:sz w:val="24"/>
              <w:szCs w:val="24"/>
            </w:rPr>
            <w:tab/>
          </w:r>
          <w:bookmarkStart w:id="11" w:name="_Toc23085_WPSOffice_Level1Page"/>
          <w:r>
            <w:rPr>
              <w:sz w:val="24"/>
              <w:szCs w:val="24"/>
            </w:rPr>
            <w:t>8</w:t>
          </w:r>
          <w:bookmarkEnd w:id="11"/>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_Toc18918_WPSOffice_Level1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36b6b175-d605-4562-9a4b-718f206d980e}"/>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2.2</w:t>
              </w:r>
              <w:r>
                <w:rPr>
                  <w:rFonts w:hint="default" w:ascii="Times New Roman" w:hAnsi="Times New Roman" w:eastAsia="宋体" w:cs="Times New Roman"/>
                  <w:sz w:val="24"/>
                  <w:szCs w:val="24"/>
                </w:rPr>
                <w:t>企业周边环境概况</w:t>
              </w:r>
            </w:sdtContent>
          </w:sdt>
          <w:r>
            <w:rPr>
              <w:sz w:val="24"/>
              <w:szCs w:val="24"/>
            </w:rPr>
            <w:tab/>
          </w:r>
          <w:bookmarkStart w:id="12" w:name="_Toc18918_WPSOffice_Level1Page"/>
          <w:r>
            <w:rPr>
              <w:sz w:val="24"/>
              <w:szCs w:val="24"/>
            </w:rPr>
            <w:t>18</w:t>
          </w:r>
          <w:bookmarkEnd w:id="12"/>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_Toc21859_WPSOffice_Level1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5a5c0b26-940a-4a53-909d-87bab31617ba}"/>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2.3</w:t>
              </w:r>
              <w:r>
                <w:rPr>
                  <w:rFonts w:hint="default" w:ascii="Times New Roman" w:hAnsi="Times New Roman" w:eastAsia="宋体" w:cs="Times New Roman"/>
                  <w:sz w:val="24"/>
                  <w:szCs w:val="24"/>
                </w:rPr>
                <w:t>周边环境风险受体情况</w:t>
              </w:r>
            </w:sdtContent>
          </w:sdt>
          <w:r>
            <w:rPr>
              <w:sz w:val="24"/>
              <w:szCs w:val="24"/>
            </w:rPr>
            <w:tab/>
          </w:r>
          <w:bookmarkStart w:id="13" w:name="_Toc21859_WPSOffice_Level1Page"/>
          <w:r>
            <w:rPr>
              <w:sz w:val="24"/>
              <w:szCs w:val="24"/>
            </w:rPr>
            <w:t>23</w:t>
          </w:r>
          <w:bookmarkEnd w:id="13"/>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b/>
              <w:bCs/>
              <w:sz w:val="28"/>
              <w:szCs w:val="28"/>
            </w:rPr>
          </w:pPr>
          <w:r>
            <w:rPr>
              <w:b/>
              <w:bCs/>
              <w:sz w:val="28"/>
              <w:szCs w:val="28"/>
            </w:rPr>
            <w:fldChar w:fldCharType="begin"/>
          </w:r>
          <w:r>
            <w:rPr>
              <w:b/>
              <w:bCs/>
              <w:sz w:val="28"/>
              <w:szCs w:val="28"/>
            </w:rPr>
            <w:instrText xml:space="preserve"> HYPERLINK \l _Toc22499_WPSOffice_Level1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81620"/>
              <w:placeholder>
                <w:docPart w:val="{a4d6e6c9-4f42-4787-a1b2-3ddf4ade21e1}"/>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3突发环境事件识别</w:t>
              </w:r>
            </w:sdtContent>
          </w:sdt>
          <w:r>
            <w:rPr>
              <w:b/>
              <w:bCs/>
              <w:sz w:val="28"/>
              <w:szCs w:val="28"/>
            </w:rPr>
            <w:tab/>
          </w:r>
          <w:bookmarkStart w:id="14" w:name="_Toc22499_WPSOffice_Level1Page"/>
          <w:r>
            <w:rPr>
              <w:b/>
              <w:bCs/>
              <w:sz w:val="28"/>
              <w:szCs w:val="28"/>
            </w:rPr>
            <w:t>25</w:t>
          </w:r>
          <w:bookmarkEnd w:id="14"/>
          <w:r>
            <w:rPr>
              <w:b/>
              <w:bCs/>
              <w:sz w:val="28"/>
              <w:szCs w:val="28"/>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_Toc687_WPSOffice_Level1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c893a105-487a-4198-92e6-1c6642ea2a4f}"/>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3.1</w:t>
              </w:r>
              <w:r>
                <w:rPr>
                  <w:rFonts w:hint="default" w:ascii="Times New Roman" w:hAnsi="Times New Roman" w:eastAsia="宋体" w:cs="Times New Roman"/>
                  <w:sz w:val="24"/>
                  <w:szCs w:val="24"/>
                </w:rPr>
                <w:t>企业环境风险源识别</w:t>
              </w:r>
            </w:sdtContent>
          </w:sdt>
          <w:r>
            <w:rPr>
              <w:sz w:val="24"/>
              <w:szCs w:val="24"/>
            </w:rPr>
            <w:tab/>
          </w:r>
          <w:bookmarkStart w:id="15" w:name="_Toc687_WPSOffice_Level1Page"/>
          <w:r>
            <w:rPr>
              <w:sz w:val="24"/>
              <w:szCs w:val="24"/>
            </w:rPr>
            <w:t>25</w:t>
          </w:r>
          <w:bookmarkEnd w:id="15"/>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_Toc18389_WPSOffice_Level1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c0024f0d-f20f-482f-8cf5-26bf70deca55}"/>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3.2环境风险源突发事件分级</w:t>
              </w:r>
            </w:sdtContent>
          </w:sdt>
          <w:r>
            <w:rPr>
              <w:sz w:val="24"/>
              <w:szCs w:val="24"/>
            </w:rPr>
            <w:tab/>
          </w:r>
          <w:bookmarkStart w:id="16" w:name="_Toc18389_WPSOffice_Level1Page"/>
          <w:r>
            <w:rPr>
              <w:sz w:val="24"/>
              <w:szCs w:val="24"/>
            </w:rPr>
            <w:t>30</w:t>
          </w:r>
          <w:bookmarkEnd w:id="16"/>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_Toc21105_WPSOffice_Level1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e900105c-4dc8-4fdc-8f64-5ba26291c59d}"/>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3.3风险防范措施</w:t>
              </w:r>
            </w:sdtContent>
          </w:sdt>
          <w:r>
            <w:rPr>
              <w:sz w:val="24"/>
              <w:szCs w:val="24"/>
            </w:rPr>
            <w:tab/>
          </w:r>
          <w:bookmarkStart w:id="17" w:name="_Toc21105_WPSOffice_Level1Page"/>
          <w:r>
            <w:rPr>
              <w:sz w:val="24"/>
              <w:szCs w:val="24"/>
            </w:rPr>
            <w:t>31</w:t>
          </w:r>
          <w:bookmarkEnd w:id="17"/>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b/>
              <w:bCs/>
              <w:sz w:val="28"/>
              <w:szCs w:val="28"/>
            </w:rPr>
          </w:pPr>
          <w:r>
            <w:rPr>
              <w:b/>
              <w:bCs/>
              <w:sz w:val="28"/>
              <w:szCs w:val="28"/>
            </w:rPr>
            <w:fldChar w:fldCharType="begin"/>
          </w:r>
          <w:r>
            <w:rPr>
              <w:b/>
              <w:bCs/>
              <w:sz w:val="28"/>
              <w:szCs w:val="28"/>
            </w:rPr>
            <w:instrText xml:space="preserve"> HYPERLINK \l _Toc25695_WPSOffice_Level1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81620"/>
              <w:placeholder>
                <w:docPart w:val="{82f9de72-5a0a-4464-9217-7e48d223e2bd}"/>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4</w:t>
              </w:r>
              <w:r>
                <w:rPr>
                  <w:rFonts w:hint="default" w:ascii="Times New Roman" w:hAnsi="Times New Roman" w:eastAsia="宋体" w:cs="Times New Roman"/>
                  <w:b/>
                  <w:bCs/>
                  <w:sz w:val="28"/>
                  <w:szCs w:val="28"/>
                </w:rPr>
                <w:t>组织机构与职责</w:t>
              </w:r>
            </w:sdtContent>
          </w:sdt>
          <w:r>
            <w:rPr>
              <w:b/>
              <w:bCs/>
              <w:sz w:val="28"/>
              <w:szCs w:val="28"/>
            </w:rPr>
            <w:tab/>
          </w:r>
          <w:bookmarkStart w:id="18" w:name="_Toc25695_WPSOffice_Level1Page"/>
          <w:r>
            <w:rPr>
              <w:b/>
              <w:bCs/>
              <w:sz w:val="28"/>
              <w:szCs w:val="28"/>
            </w:rPr>
            <w:t>34</w:t>
          </w:r>
          <w:bookmarkEnd w:id="18"/>
          <w:r>
            <w:rPr>
              <w:b/>
              <w:bCs/>
              <w:sz w:val="28"/>
              <w:szCs w:val="28"/>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_Toc6526_WPSOffice_Level1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660ca7bb-ada1-43d1-8afc-595564f93a9e}"/>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4.1</w:t>
              </w:r>
              <w:r>
                <w:rPr>
                  <w:rFonts w:hint="default" w:ascii="Times New Roman" w:hAnsi="Times New Roman" w:eastAsia="宋体" w:cs="Times New Roman"/>
                  <w:sz w:val="24"/>
                  <w:szCs w:val="24"/>
                </w:rPr>
                <w:t>组织机构体系</w:t>
              </w:r>
            </w:sdtContent>
          </w:sdt>
          <w:r>
            <w:rPr>
              <w:sz w:val="24"/>
              <w:szCs w:val="24"/>
            </w:rPr>
            <w:tab/>
          </w:r>
          <w:bookmarkStart w:id="19" w:name="_Toc6526_WPSOffice_Level1Page"/>
          <w:r>
            <w:rPr>
              <w:sz w:val="24"/>
              <w:szCs w:val="24"/>
            </w:rPr>
            <w:t>34</w:t>
          </w:r>
          <w:bookmarkEnd w:id="19"/>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_Toc30934_WPSOffice_Level1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336bc125-a0ef-491b-a49a-69ec01f3b20b}"/>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4.2</w:t>
              </w:r>
              <w:r>
                <w:rPr>
                  <w:rFonts w:hint="default" w:ascii="Times New Roman" w:hAnsi="Times New Roman" w:eastAsia="宋体" w:cs="Times New Roman"/>
                  <w:sz w:val="24"/>
                  <w:szCs w:val="24"/>
                </w:rPr>
                <w:t>应急组织机构</w:t>
              </w:r>
              <w:r>
                <w:rPr>
                  <w:rFonts w:hint="eastAsia" w:ascii="Times New Roman" w:hAnsi="Times New Roman" w:eastAsia="宋体" w:cs="Times New Roman"/>
                  <w:sz w:val="24"/>
                  <w:szCs w:val="24"/>
                </w:rPr>
                <w:t>组成及职责</w:t>
              </w:r>
            </w:sdtContent>
          </w:sdt>
          <w:r>
            <w:rPr>
              <w:sz w:val="24"/>
              <w:szCs w:val="24"/>
            </w:rPr>
            <w:tab/>
          </w:r>
          <w:bookmarkStart w:id="20" w:name="_Toc30934_WPSOffice_Level1Page"/>
          <w:r>
            <w:rPr>
              <w:sz w:val="24"/>
              <w:szCs w:val="24"/>
            </w:rPr>
            <w:t>35</w:t>
          </w:r>
          <w:bookmarkEnd w:id="20"/>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b/>
              <w:bCs/>
              <w:sz w:val="28"/>
              <w:szCs w:val="28"/>
            </w:rPr>
          </w:pPr>
          <w:r>
            <w:rPr>
              <w:b/>
              <w:bCs/>
              <w:sz w:val="28"/>
              <w:szCs w:val="28"/>
            </w:rPr>
            <w:fldChar w:fldCharType="begin"/>
          </w:r>
          <w:r>
            <w:rPr>
              <w:b/>
              <w:bCs/>
              <w:sz w:val="28"/>
              <w:szCs w:val="28"/>
            </w:rPr>
            <w:instrText xml:space="preserve"> HYPERLINK \l _Toc24673_WPSOffice_Level1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81620"/>
              <w:placeholder>
                <w:docPart w:val="{73e258a5-e340-4182-809e-67de3815ebe5}"/>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5</w:t>
              </w:r>
              <w:r>
                <w:rPr>
                  <w:rFonts w:hint="default" w:ascii="Times New Roman" w:hAnsi="Times New Roman" w:eastAsia="宋体" w:cs="Times New Roman"/>
                  <w:b/>
                  <w:bCs/>
                  <w:sz w:val="28"/>
                  <w:szCs w:val="28"/>
                </w:rPr>
                <w:t>预防和预警机制</w:t>
              </w:r>
            </w:sdtContent>
          </w:sdt>
          <w:r>
            <w:rPr>
              <w:b/>
              <w:bCs/>
              <w:sz w:val="28"/>
              <w:szCs w:val="28"/>
            </w:rPr>
            <w:tab/>
          </w:r>
          <w:bookmarkStart w:id="21" w:name="_Toc24673_WPSOffice_Level1Page"/>
          <w:r>
            <w:rPr>
              <w:b/>
              <w:bCs/>
              <w:sz w:val="28"/>
              <w:szCs w:val="28"/>
            </w:rPr>
            <w:t>38</w:t>
          </w:r>
          <w:bookmarkEnd w:id="21"/>
          <w:r>
            <w:rPr>
              <w:b/>
              <w:bCs/>
              <w:sz w:val="28"/>
              <w:szCs w:val="28"/>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_Toc21500_WPSOffice_Level1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13a2e506-6158-49ef-83d8-404edc90c66c}"/>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5.1</w:t>
              </w:r>
              <w:r>
                <w:rPr>
                  <w:rFonts w:hint="default" w:ascii="Times New Roman" w:hAnsi="Times New Roman" w:eastAsia="宋体" w:cs="Times New Roman"/>
                  <w:sz w:val="24"/>
                  <w:szCs w:val="24"/>
                </w:rPr>
                <w:t>应急准备</w:t>
              </w:r>
            </w:sdtContent>
          </w:sdt>
          <w:r>
            <w:rPr>
              <w:sz w:val="24"/>
              <w:szCs w:val="24"/>
            </w:rPr>
            <w:tab/>
          </w:r>
          <w:bookmarkStart w:id="22" w:name="_Toc21500_WPSOffice_Level1Page"/>
          <w:r>
            <w:rPr>
              <w:sz w:val="24"/>
              <w:szCs w:val="24"/>
            </w:rPr>
            <w:t>38</w:t>
          </w:r>
          <w:bookmarkEnd w:id="22"/>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_Toc2476_WPSOffice_Level1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81fa8477-b830-4b51-8380-8b5d0d8ae7c3}"/>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5.2</w:t>
              </w:r>
              <w:r>
                <w:rPr>
                  <w:rFonts w:hint="default" w:ascii="Times New Roman" w:hAnsi="Times New Roman" w:eastAsia="宋体" w:cs="Times New Roman"/>
                  <w:sz w:val="24"/>
                  <w:szCs w:val="24"/>
                </w:rPr>
                <w:t>环境风险源源监控管理</w:t>
              </w:r>
            </w:sdtContent>
          </w:sdt>
          <w:r>
            <w:rPr>
              <w:sz w:val="24"/>
              <w:szCs w:val="24"/>
            </w:rPr>
            <w:tab/>
          </w:r>
          <w:bookmarkStart w:id="23" w:name="_Toc2476_WPSOffice_Level1Page"/>
          <w:r>
            <w:rPr>
              <w:sz w:val="24"/>
              <w:szCs w:val="24"/>
            </w:rPr>
            <w:t>38</w:t>
          </w:r>
          <w:bookmarkEnd w:id="23"/>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_Toc18821_WPSOffice_Level1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407a9ecf-419e-4d58-9d73-ea081d725419}"/>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5.3</w:t>
              </w:r>
              <w:r>
                <w:rPr>
                  <w:rFonts w:hint="default" w:ascii="Times New Roman" w:hAnsi="Times New Roman" w:eastAsia="宋体" w:cs="Times New Roman"/>
                  <w:sz w:val="24"/>
                  <w:szCs w:val="24"/>
                </w:rPr>
                <w:t>预警</w:t>
              </w:r>
              <w:r>
                <w:rPr>
                  <w:rFonts w:hint="eastAsia" w:ascii="Times New Roman" w:hAnsi="Times New Roman" w:eastAsia="宋体" w:cs="Times New Roman"/>
                  <w:sz w:val="24"/>
                  <w:szCs w:val="24"/>
                </w:rPr>
                <w:t>行动</w:t>
              </w:r>
            </w:sdtContent>
          </w:sdt>
          <w:r>
            <w:rPr>
              <w:sz w:val="24"/>
              <w:szCs w:val="24"/>
            </w:rPr>
            <w:tab/>
          </w:r>
          <w:bookmarkStart w:id="24" w:name="_Toc18821_WPSOffice_Level1Page"/>
          <w:r>
            <w:rPr>
              <w:sz w:val="24"/>
              <w:szCs w:val="24"/>
            </w:rPr>
            <w:t>39</w:t>
          </w:r>
          <w:bookmarkEnd w:id="24"/>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b/>
              <w:bCs/>
              <w:sz w:val="28"/>
              <w:szCs w:val="28"/>
            </w:rPr>
          </w:pPr>
          <w:r>
            <w:rPr>
              <w:b/>
              <w:bCs/>
              <w:sz w:val="28"/>
              <w:szCs w:val="28"/>
            </w:rPr>
            <w:fldChar w:fldCharType="begin"/>
          </w:r>
          <w:r>
            <w:rPr>
              <w:b/>
              <w:bCs/>
              <w:sz w:val="28"/>
              <w:szCs w:val="28"/>
            </w:rPr>
            <w:instrText xml:space="preserve"> HYPERLINK \l _Toc28651_WPSOffice_Level1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81620"/>
              <w:placeholder>
                <w:docPart w:val="{0e6d818e-bcf9-457f-b847-5ea46545ab90}"/>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6</w:t>
              </w:r>
              <w:r>
                <w:rPr>
                  <w:rFonts w:hint="default" w:ascii="Times New Roman" w:hAnsi="Times New Roman" w:eastAsia="宋体" w:cs="Times New Roman"/>
                  <w:b/>
                  <w:bCs/>
                  <w:sz w:val="28"/>
                  <w:szCs w:val="28"/>
                </w:rPr>
                <w:t>应急响应和措施</w:t>
              </w:r>
            </w:sdtContent>
          </w:sdt>
          <w:r>
            <w:rPr>
              <w:b/>
              <w:bCs/>
              <w:sz w:val="28"/>
              <w:szCs w:val="28"/>
            </w:rPr>
            <w:tab/>
          </w:r>
          <w:bookmarkStart w:id="25" w:name="_Toc28651_WPSOffice_Level1Page"/>
          <w:r>
            <w:rPr>
              <w:b/>
              <w:bCs/>
              <w:sz w:val="28"/>
              <w:szCs w:val="28"/>
            </w:rPr>
            <w:t>43</w:t>
          </w:r>
          <w:bookmarkEnd w:id="25"/>
          <w:r>
            <w:rPr>
              <w:b/>
              <w:bCs/>
              <w:sz w:val="28"/>
              <w:szCs w:val="28"/>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_Toc28887_WPSOffice_Level1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69665ef8-2bf1-4e52-9552-2e3da288d12b}"/>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6.1</w:t>
              </w:r>
              <w:r>
                <w:rPr>
                  <w:rFonts w:hint="default" w:ascii="Times New Roman" w:hAnsi="Times New Roman" w:eastAsia="宋体" w:cs="Times New Roman"/>
                  <w:sz w:val="24"/>
                  <w:szCs w:val="24"/>
                </w:rPr>
                <w:t>启动条件</w:t>
              </w:r>
            </w:sdtContent>
          </w:sdt>
          <w:r>
            <w:rPr>
              <w:sz w:val="24"/>
              <w:szCs w:val="24"/>
            </w:rPr>
            <w:tab/>
          </w:r>
          <w:bookmarkStart w:id="26" w:name="_Toc28887_WPSOffice_Level1Page"/>
          <w:r>
            <w:rPr>
              <w:sz w:val="24"/>
              <w:szCs w:val="24"/>
            </w:rPr>
            <w:t>43</w:t>
          </w:r>
          <w:bookmarkEnd w:id="26"/>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_Toc24554_WPSOffice_Level1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e09719b1-d3d8-4816-8d90-206a17204c6c}"/>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6.2</w:t>
              </w:r>
              <w:r>
                <w:rPr>
                  <w:rFonts w:hint="default" w:ascii="Times New Roman" w:hAnsi="Times New Roman" w:eastAsia="宋体" w:cs="Times New Roman"/>
                  <w:sz w:val="24"/>
                  <w:szCs w:val="24"/>
                </w:rPr>
                <w:t>响应程序</w:t>
              </w:r>
            </w:sdtContent>
          </w:sdt>
          <w:r>
            <w:rPr>
              <w:sz w:val="24"/>
              <w:szCs w:val="24"/>
            </w:rPr>
            <w:tab/>
          </w:r>
          <w:bookmarkStart w:id="27" w:name="_Toc24554_WPSOffice_Level1Page"/>
          <w:r>
            <w:rPr>
              <w:sz w:val="24"/>
              <w:szCs w:val="24"/>
            </w:rPr>
            <w:t>43</w:t>
          </w:r>
          <w:bookmarkEnd w:id="27"/>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_Toc4765_WPSOffice_Level1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b004e197-981c-49e5-b80a-440a762f5db9}"/>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6.3</w:t>
              </w:r>
              <w:r>
                <w:rPr>
                  <w:rFonts w:hint="default" w:ascii="Times New Roman" w:hAnsi="Times New Roman" w:eastAsia="宋体" w:cs="Times New Roman"/>
                  <w:sz w:val="24"/>
                  <w:szCs w:val="24"/>
                </w:rPr>
                <w:t>响应分级</w:t>
              </w:r>
            </w:sdtContent>
          </w:sdt>
          <w:r>
            <w:rPr>
              <w:sz w:val="24"/>
              <w:szCs w:val="24"/>
            </w:rPr>
            <w:tab/>
          </w:r>
          <w:bookmarkStart w:id="28" w:name="_Toc4765_WPSOffice_Level1Page"/>
          <w:r>
            <w:rPr>
              <w:sz w:val="24"/>
              <w:szCs w:val="24"/>
            </w:rPr>
            <w:t>44</w:t>
          </w:r>
          <w:bookmarkEnd w:id="28"/>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_Toc14958_WPSOffice_Level1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3a07fb92-5be3-4685-ae53-befc2e28280c}"/>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6.4</w:t>
              </w:r>
              <w:r>
                <w:rPr>
                  <w:rFonts w:hint="default" w:ascii="Times New Roman" w:hAnsi="Times New Roman" w:eastAsia="宋体" w:cs="Times New Roman"/>
                  <w:sz w:val="24"/>
                  <w:szCs w:val="24"/>
                </w:rPr>
                <w:t>现场处置措施</w:t>
              </w:r>
            </w:sdtContent>
          </w:sdt>
          <w:r>
            <w:rPr>
              <w:sz w:val="24"/>
              <w:szCs w:val="24"/>
            </w:rPr>
            <w:tab/>
          </w:r>
          <w:bookmarkStart w:id="29" w:name="_Toc14958_WPSOffice_Level1Page"/>
          <w:r>
            <w:rPr>
              <w:sz w:val="24"/>
              <w:szCs w:val="24"/>
            </w:rPr>
            <w:t>46</w:t>
          </w:r>
          <w:bookmarkEnd w:id="29"/>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_Toc1066_WPSOffice_Level1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cb2d2e46-436c-4fac-967e-ccb58dd19e98}"/>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7</w:t>
              </w:r>
              <w:r>
                <w:rPr>
                  <w:rFonts w:hint="default" w:ascii="Times New Roman" w:hAnsi="Times New Roman" w:eastAsia="宋体" w:cs="Times New Roman"/>
                  <w:b/>
                  <w:bCs/>
                  <w:sz w:val="28"/>
                  <w:szCs w:val="28"/>
                </w:rPr>
                <w:t>安全防护</w:t>
              </w:r>
            </w:sdtContent>
          </w:sdt>
          <w:r>
            <w:rPr>
              <w:b/>
              <w:bCs/>
              <w:sz w:val="28"/>
              <w:szCs w:val="28"/>
            </w:rPr>
            <w:tab/>
          </w:r>
          <w:bookmarkStart w:id="30" w:name="_Toc1066_WPSOffice_Level1Page"/>
          <w:r>
            <w:rPr>
              <w:b/>
              <w:bCs/>
              <w:sz w:val="28"/>
              <w:szCs w:val="28"/>
            </w:rPr>
            <w:t>51</w:t>
          </w:r>
          <w:bookmarkEnd w:id="30"/>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_Toc8349_WPSOffice_Level1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d2af5531-b0bf-4d44-a2b3-f4b1c4a7586e}"/>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7.1</w:t>
              </w:r>
              <w:r>
                <w:rPr>
                  <w:rFonts w:hint="default" w:ascii="Times New Roman" w:hAnsi="Times New Roman" w:eastAsia="宋体" w:cs="Times New Roman"/>
                  <w:sz w:val="24"/>
                  <w:szCs w:val="24"/>
                </w:rPr>
                <w:t>应急救援人员的安全防护</w:t>
              </w:r>
            </w:sdtContent>
          </w:sdt>
          <w:r>
            <w:rPr>
              <w:sz w:val="24"/>
              <w:szCs w:val="24"/>
            </w:rPr>
            <w:tab/>
          </w:r>
          <w:bookmarkStart w:id="31" w:name="_Toc8349_WPSOffice_Level1Page"/>
          <w:r>
            <w:rPr>
              <w:sz w:val="24"/>
              <w:szCs w:val="24"/>
            </w:rPr>
            <w:t>51</w:t>
          </w:r>
          <w:bookmarkEnd w:id="31"/>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_Toc26302_WPSOffice_Level1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f50df72c-3762-43ca-88a2-9bb699122acf}"/>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7.2</w:t>
              </w:r>
              <w:r>
                <w:rPr>
                  <w:rFonts w:hint="default" w:ascii="Times New Roman" w:hAnsi="Times New Roman" w:eastAsia="宋体" w:cs="Times New Roman"/>
                  <w:sz w:val="24"/>
                  <w:szCs w:val="24"/>
                </w:rPr>
                <w:t>受伤人员救援</w:t>
              </w:r>
            </w:sdtContent>
          </w:sdt>
          <w:r>
            <w:rPr>
              <w:sz w:val="24"/>
              <w:szCs w:val="24"/>
            </w:rPr>
            <w:tab/>
          </w:r>
          <w:bookmarkStart w:id="32" w:name="_Toc26302_WPSOffice_Level1Page"/>
          <w:r>
            <w:rPr>
              <w:sz w:val="24"/>
              <w:szCs w:val="24"/>
            </w:rPr>
            <w:t>51</w:t>
          </w:r>
          <w:bookmarkEnd w:id="32"/>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_Toc26781_WPSOffice_Level1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8254b839-eca6-461e-a15a-0d0f050b6330}"/>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7.3</w:t>
              </w:r>
              <w:r>
                <w:rPr>
                  <w:rFonts w:hint="default" w:ascii="Times New Roman" w:hAnsi="Times New Roman" w:eastAsia="宋体" w:cs="Times New Roman"/>
                  <w:sz w:val="24"/>
                  <w:szCs w:val="24"/>
                </w:rPr>
                <w:t>信息发布</w:t>
              </w:r>
            </w:sdtContent>
          </w:sdt>
          <w:r>
            <w:rPr>
              <w:sz w:val="24"/>
              <w:szCs w:val="24"/>
            </w:rPr>
            <w:tab/>
          </w:r>
          <w:bookmarkStart w:id="33" w:name="_Toc26781_WPSOffice_Level1Page"/>
          <w:r>
            <w:rPr>
              <w:sz w:val="24"/>
              <w:szCs w:val="24"/>
            </w:rPr>
            <w:t>52</w:t>
          </w:r>
          <w:bookmarkEnd w:id="33"/>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_Toc12843_WPSOffice_Level1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b2a6a44f-2f84-489a-bfe1-16a5fe04d5f2}"/>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7.4</w:t>
              </w:r>
              <w:r>
                <w:rPr>
                  <w:rFonts w:hint="default" w:ascii="Times New Roman" w:hAnsi="Times New Roman" w:eastAsia="宋体" w:cs="Times New Roman"/>
                  <w:sz w:val="24"/>
                  <w:szCs w:val="24"/>
                </w:rPr>
                <w:t>应急终止</w:t>
              </w:r>
            </w:sdtContent>
          </w:sdt>
          <w:r>
            <w:rPr>
              <w:sz w:val="24"/>
              <w:szCs w:val="24"/>
            </w:rPr>
            <w:tab/>
          </w:r>
          <w:bookmarkStart w:id="34" w:name="_Toc12843_WPSOffice_Level1Page"/>
          <w:r>
            <w:rPr>
              <w:sz w:val="24"/>
              <w:szCs w:val="24"/>
            </w:rPr>
            <w:t>52</w:t>
          </w:r>
          <w:bookmarkEnd w:id="34"/>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b/>
              <w:bCs/>
              <w:sz w:val="28"/>
              <w:szCs w:val="28"/>
            </w:rPr>
          </w:pPr>
          <w:r>
            <w:rPr>
              <w:b/>
              <w:bCs/>
              <w:sz w:val="28"/>
              <w:szCs w:val="28"/>
            </w:rPr>
            <w:fldChar w:fldCharType="begin"/>
          </w:r>
          <w:r>
            <w:rPr>
              <w:b/>
              <w:bCs/>
              <w:sz w:val="28"/>
              <w:szCs w:val="28"/>
            </w:rPr>
            <w:instrText xml:space="preserve"> HYPERLINK \l _Toc17460_WPSOffice_Level1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81620"/>
              <w:placeholder>
                <w:docPart w:val="{b1ef0a0a-52e3-4519-a55c-40a3a8f7700c}"/>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8</w:t>
              </w:r>
              <w:r>
                <w:rPr>
                  <w:rFonts w:hint="default" w:ascii="Times New Roman" w:hAnsi="Times New Roman" w:eastAsia="宋体" w:cs="Times New Roman"/>
                  <w:b/>
                  <w:bCs/>
                  <w:sz w:val="28"/>
                  <w:szCs w:val="28"/>
                </w:rPr>
                <w:t>后期处置</w:t>
              </w:r>
            </w:sdtContent>
          </w:sdt>
          <w:r>
            <w:rPr>
              <w:b/>
              <w:bCs/>
              <w:sz w:val="28"/>
              <w:szCs w:val="28"/>
            </w:rPr>
            <w:tab/>
          </w:r>
          <w:bookmarkStart w:id="35" w:name="_Toc17460_WPSOffice_Level1Page"/>
          <w:r>
            <w:rPr>
              <w:b/>
              <w:bCs/>
              <w:sz w:val="28"/>
              <w:szCs w:val="28"/>
            </w:rPr>
            <w:t>54</w:t>
          </w:r>
          <w:bookmarkEnd w:id="35"/>
          <w:r>
            <w:rPr>
              <w:b/>
              <w:bCs/>
              <w:sz w:val="28"/>
              <w:szCs w:val="28"/>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_Toc28014_WPSOffice_Level1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9a66233c-a4bd-43ed-9b2b-9300cdc64d7e}"/>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.1事件现场的保护措施</w:t>
              </w:r>
            </w:sdtContent>
          </w:sdt>
          <w:r>
            <w:rPr>
              <w:sz w:val="24"/>
              <w:szCs w:val="24"/>
            </w:rPr>
            <w:tab/>
          </w:r>
          <w:bookmarkStart w:id="36" w:name="_Toc28014_WPSOffice_Level1Page"/>
          <w:r>
            <w:rPr>
              <w:sz w:val="24"/>
              <w:szCs w:val="24"/>
            </w:rPr>
            <w:t>54</w:t>
          </w:r>
          <w:bookmarkEnd w:id="36"/>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_Toc4468_WPSOffice_Level1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3618a8ad-b3f7-4e64-ab6d-a2787f1185c6}"/>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.2确定现场净化方式、方法</w:t>
              </w:r>
            </w:sdtContent>
          </w:sdt>
          <w:r>
            <w:rPr>
              <w:sz w:val="24"/>
              <w:szCs w:val="24"/>
            </w:rPr>
            <w:tab/>
          </w:r>
          <w:bookmarkStart w:id="37" w:name="_Toc4468_WPSOffice_Level1Page"/>
          <w:r>
            <w:rPr>
              <w:sz w:val="24"/>
              <w:szCs w:val="24"/>
            </w:rPr>
            <w:t>54</w:t>
          </w:r>
          <w:bookmarkEnd w:id="37"/>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_Toc19761_WPSOffice_Level1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b05f2a96-adf3-4a5a-b32a-7e7006623b26}"/>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.3明确事件现场洗消工作的负责人和专业队伍</w:t>
              </w:r>
            </w:sdtContent>
          </w:sdt>
          <w:r>
            <w:rPr>
              <w:sz w:val="24"/>
              <w:szCs w:val="24"/>
            </w:rPr>
            <w:tab/>
          </w:r>
          <w:bookmarkStart w:id="38" w:name="_Toc19761_WPSOffice_Level1Page"/>
          <w:r>
            <w:rPr>
              <w:sz w:val="24"/>
              <w:szCs w:val="24"/>
            </w:rPr>
            <w:t>55</w:t>
          </w:r>
          <w:bookmarkEnd w:id="38"/>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_Toc19896_WPSOffice_Level1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e87a7c0e-4fcf-4b3e-92ef-04739ed8d7a7}"/>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.4洗消后二次污染的防治方案</w:t>
              </w:r>
            </w:sdtContent>
          </w:sdt>
          <w:r>
            <w:rPr>
              <w:sz w:val="24"/>
              <w:szCs w:val="24"/>
            </w:rPr>
            <w:tab/>
          </w:r>
          <w:bookmarkStart w:id="39" w:name="_Toc19896_WPSOffice_Level1Page"/>
          <w:r>
            <w:rPr>
              <w:sz w:val="24"/>
              <w:szCs w:val="24"/>
            </w:rPr>
            <w:t>55</w:t>
          </w:r>
          <w:bookmarkEnd w:id="39"/>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_Toc28509_WPSOffice_Level1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d3a00588-7feb-4946-9903-d39ff36143fa}"/>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8.5应急监测</w:t>
              </w:r>
            </w:sdtContent>
          </w:sdt>
          <w:r>
            <w:rPr>
              <w:sz w:val="24"/>
              <w:szCs w:val="24"/>
            </w:rPr>
            <w:tab/>
          </w:r>
          <w:bookmarkStart w:id="40" w:name="_Toc28509_WPSOffice_Level1Page"/>
          <w:r>
            <w:rPr>
              <w:sz w:val="24"/>
              <w:szCs w:val="24"/>
            </w:rPr>
            <w:t>55</w:t>
          </w:r>
          <w:bookmarkEnd w:id="40"/>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_Toc9586_WPSOffice_Level1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f32a54a4-7265-4916-bcf5-6361e676d973}"/>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w:t>
              </w:r>
              <w:r>
                <w:rPr>
                  <w:rFonts w:hint="eastAsia" w:ascii="Times New Roman" w:hAnsi="Times New Roman" w:eastAsia="宋体" w:cs="Times New Roman"/>
                  <w:sz w:val="24"/>
                  <w:szCs w:val="24"/>
                </w:rPr>
                <w:t>6</w:t>
              </w:r>
              <w:r>
                <w:rPr>
                  <w:rFonts w:ascii="Times New Roman" w:hAnsi="Times New Roman" w:eastAsia="宋体" w:cs="Times New Roman"/>
                  <w:sz w:val="24"/>
                  <w:szCs w:val="24"/>
                </w:rPr>
                <w:t>环境恢复</w:t>
              </w:r>
            </w:sdtContent>
          </w:sdt>
          <w:r>
            <w:rPr>
              <w:sz w:val="24"/>
              <w:szCs w:val="24"/>
            </w:rPr>
            <w:tab/>
          </w:r>
          <w:bookmarkStart w:id="41" w:name="_Toc9586_WPSOffice_Level1Page"/>
          <w:r>
            <w:rPr>
              <w:sz w:val="24"/>
              <w:szCs w:val="24"/>
            </w:rPr>
            <w:t>55</w:t>
          </w:r>
          <w:bookmarkEnd w:id="41"/>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_Toc25625_WPSOffice_Level1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664e95af-3b32-4fdf-9344-bd5eaa4753f9}"/>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w:t>
              </w:r>
              <w:r>
                <w:rPr>
                  <w:rFonts w:hint="eastAsia" w:ascii="Times New Roman" w:hAnsi="Times New Roman" w:eastAsia="宋体" w:cs="Times New Roman"/>
                  <w:sz w:val="24"/>
                  <w:szCs w:val="24"/>
                </w:rPr>
                <w:t>7</w:t>
              </w:r>
              <w:r>
                <w:rPr>
                  <w:rFonts w:ascii="Times New Roman" w:hAnsi="Times New Roman" w:eastAsia="宋体" w:cs="Times New Roman"/>
                  <w:sz w:val="24"/>
                  <w:szCs w:val="24"/>
                </w:rPr>
                <w:t>善后赔偿</w:t>
              </w:r>
            </w:sdtContent>
          </w:sdt>
          <w:r>
            <w:rPr>
              <w:sz w:val="24"/>
              <w:szCs w:val="24"/>
            </w:rPr>
            <w:tab/>
          </w:r>
          <w:bookmarkStart w:id="42" w:name="_Toc25625_WPSOffice_Level1Page"/>
          <w:r>
            <w:rPr>
              <w:sz w:val="24"/>
              <w:szCs w:val="24"/>
            </w:rPr>
            <w:t>56</w:t>
          </w:r>
          <w:bookmarkEnd w:id="42"/>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_Toc12196_WPSOffice_Level1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f0382df5-09f1-46a0-9b97-ae7e838688eb}"/>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w:t>
              </w:r>
              <w:r>
                <w:rPr>
                  <w:rFonts w:hint="eastAsia" w:ascii="Times New Roman" w:hAnsi="Times New Roman" w:eastAsia="宋体" w:cs="Times New Roman"/>
                  <w:sz w:val="24"/>
                  <w:szCs w:val="24"/>
                </w:rPr>
                <w:t>8</w:t>
              </w:r>
              <w:r>
                <w:rPr>
                  <w:rFonts w:ascii="Times New Roman" w:hAnsi="Times New Roman" w:eastAsia="宋体" w:cs="Times New Roman"/>
                  <w:sz w:val="24"/>
                  <w:szCs w:val="24"/>
                </w:rPr>
                <w:t>事件调查</w:t>
              </w:r>
            </w:sdtContent>
          </w:sdt>
          <w:r>
            <w:rPr>
              <w:sz w:val="24"/>
              <w:szCs w:val="24"/>
            </w:rPr>
            <w:tab/>
          </w:r>
          <w:bookmarkStart w:id="43" w:name="_Toc12196_WPSOffice_Level1Page"/>
          <w:r>
            <w:rPr>
              <w:sz w:val="24"/>
              <w:szCs w:val="24"/>
            </w:rPr>
            <w:t>56</w:t>
          </w:r>
          <w:bookmarkEnd w:id="43"/>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_Toc30701_WPSOffice_Level1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3b536dba-c28c-4795-bb81-1e8056af0099}"/>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8</w:t>
              </w:r>
              <w:r>
                <w:rPr>
                  <w:rFonts w:ascii="Times New Roman" w:hAnsi="Times New Roman" w:eastAsia="宋体" w:cs="Times New Roman"/>
                  <w:sz w:val="24"/>
                  <w:szCs w:val="24"/>
                </w:rPr>
                <w:t>.</w:t>
              </w:r>
              <w:r>
                <w:rPr>
                  <w:rFonts w:hint="eastAsia" w:ascii="Times New Roman" w:hAnsi="Times New Roman" w:eastAsia="宋体" w:cs="Times New Roman"/>
                  <w:sz w:val="24"/>
                  <w:szCs w:val="24"/>
                </w:rPr>
                <w:t>9</w:t>
              </w:r>
              <w:r>
                <w:rPr>
                  <w:rFonts w:ascii="Times New Roman" w:hAnsi="Times New Roman" w:eastAsia="宋体" w:cs="Times New Roman"/>
                  <w:sz w:val="24"/>
                  <w:szCs w:val="24"/>
                </w:rPr>
                <w:t>应急预案的评估和修订</w:t>
              </w:r>
            </w:sdtContent>
          </w:sdt>
          <w:r>
            <w:rPr>
              <w:sz w:val="24"/>
              <w:szCs w:val="24"/>
            </w:rPr>
            <w:tab/>
          </w:r>
          <w:bookmarkStart w:id="44" w:name="_Toc30701_WPSOffice_Level1Page"/>
          <w:r>
            <w:rPr>
              <w:sz w:val="24"/>
              <w:szCs w:val="24"/>
            </w:rPr>
            <w:t>56</w:t>
          </w:r>
          <w:bookmarkEnd w:id="44"/>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_Toc6658_WPSOffice_Level1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2a9db427-470a-4dba-83e1-5e143dd9ffde}"/>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9</w:t>
              </w:r>
              <w:r>
                <w:rPr>
                  <w:rFonts w:hint="default" w:ascii="Times New Roman" w:hAnsi="Times New Roman" w:eastAsia="宋体" w:cs="Times New Roman"/>
                  <w:b/>
                  <w:bCs/>
                  <w:sz w:val="28"/>
                  <w:szCs w:val="28"/>
                </w:rPr>
                <w:t>应急保障</w:t>
              </w:r>
            </w:sdtContent>
          </w:sdt>
          <w:r>
            <w:rPr>
              <w:b/>
              <w:bCs/>
              <w:sz w:val="28"/>
              <w:szCs w:val="28"/>
            </w:rPr>
            <w:tab/>
          </w:r>
          <w:bookmarkStart w:id="45" w:name="_Toc6658_WPSOffice_Level1Page"/>
          <w:r>
            <w:rPr>
              <w:b/>
              <w:bCs/>
              <w:sz w:val="28"/>
              <w:szCs w:val="28"/>
            </w:rPr>
            <w:t>58</w:t>
          </w:r>
          <w:bookmarkEnd w:id="45"/>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_Toc4072_WPSOffice_Level1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d4a33203-44c8-45e3-9921-1e6010c9e61d}"/>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9.1</w:t>
              </w:r>
              <w:r>
                <w:rPr>
                  <w:rFonts w:hint="default" w:ascii="Times New Roman" w:hAnsi="Times New Roman" w:eastAsia="宋体" w:cs="Times New Roman"/>
                  <w:sz w:val="24"/>
                  <w:szCs w:val="24"/>
                </w:rPr>
                <w:t>人力资源保障</w:t>
              </w:r>
            </w:sdtContent>
          </w:sdt>
          <w:r>
            <w:rPr>
              <w:sz w:val="24"/>
              <w:szCs w:val="24"/>
            </w:rPr>
            <w:tab/>
          </w:r>
          <w:bookmarkStart w:id="46" w:name="_Toc4072_WPSOffice_Level1Page"/>
          <w:r>
            <w:rPr>
              <w:sz w:val="24"/>
              <w:szCs w:val="24"/>
            </w:rPr>
            <w:t>58</w:t>
          </w:r>
          <w:bookmarkEnd w:id="46"/>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_Toc29432_WPSOffice_Level1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44210b6b-059c-4331-8142-c66e1a95550f}"/>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9.2</w:t>
              </w:r>
              <w:r>
                <w:rPr>
                  <w:rFonts w:hint="default" w:ascii="Times New Roman" w:hAnsi="Times New Roman" w:eastAsia="宋体" w:cs="Times New Roman"/>
                  <w:sz w:val="24"/>
                  <w:szCs w:val="24"/>
                </w:rPr>
                <w:t>资金保障</w:t>
              </w:r>
            </w:sdtContent>
          </w:sdt>
          <w:r>
            <w:rPr>
              <w:sz w:val="24"/>
              <w:szCs w:val="24"/>
            </w:rPr>
            <w:tab/>
          </w:r>
          <w:bookmarkStart w:id="47" w:name="_Toc29432_WPSOffice_Level1Page"/>
          <w:r>
            <w:rPr>
              <w:sz w:val="24"/>
              <w:szCs w:val="24"/>
            </w:rPr>
            <w:t>58</w:t>
          </w:r>
          <w:bookmarkEnd w:id="47"/>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_Toc12273_WPSOffice_Level1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39cfe659-9ae6-437a-b9a0-b78a2aa88e96}"/>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9.3</w:t>
              </w:r>
              <w:r>
                <w:rPr>
                  <w:rFonts w:hint="default" w:ascii="Times New Roman" w:hAnsi="Times New Roman" w:eastAsia="宋体" w:cs="Times New Roman"/>
                  <w:sz w:val="24"/>
                  <w:szCs w:val="24"/>
                </w:rPr>
                <w:t>物资保障</w:t>
              </w:r>
            </w:sdtContent>
          </w:sdt>
          <w:r>
            <w:rPr>
              <w:sz w:val="24"/>
              <w:szCs w:val="24"/>
            </w:rPr>
            <w:tab/>
          </w:r>
          <w:bookmarkStart w:id="48" w:name="_Toc12273_WPSOffice_Level1Page"/>
          <w:r>
            <w:rPr>
              <w:sz w:val="24"/>
              <w:szCs w:val="24"/>
            </w:rPr>
            <w:t>58</w:t>
          </w:r>
          <w:bookmarkEnd w:id="48"/>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_Toc26938_WPSOffice_Level1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852a0b05-95c9-4544-a8f1-952ef2df5f09}"/>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9.4</w:t>
              </w:r>
              <w:r>
                <w:rPr>
                  <w:rFonts w:hint="default" w:ascii="Times New Roman" w:hAnsi="Times New Roman" w:eastAsia="宋体" w:cs="Times New Roman"/>
                  <w:sz w:val="24"/>
                  <w:szCs w:val="24"/>
                </w:rPr>
                <w:t>医疗卫生保障</w:t>
              </w:r>
            </w:sdtContent>
          </w:sdt>
          <w:r>
            <w:rPr>
              <w:sz w:val="24"/>
              <w:szCs w:val="24"/>
            </w:rPr>
            <w:tab/>
          </w:r>
          <w:bookmarkStart w:id="49" w:name="_Toc26938_WPSOffice_Level1Page"/>
          <w:r>
            <w:rPr>
              <w:sz w:val="24"/>
              <w:szCs w:val="24"/>
            </w:rPr>
            <w:t>58</w:t>
          </w:r>
          <w:bookmarkEnd w:id="49"/>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_Toc17585_WPSOffice_Level1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cc2e977c-2458-44c4-b2f8-ea7a4dffe75d}"/>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9.5</w:t>
              </w:r>
              <w:r>
                <w:rPr>
                  <w:rFonts w:hint="default" w:ascii="Times New Roman" w:hAnsi="Times New Roman" w:eastAsia="宋体" w:cs="Times New Roman"/>
                  <w:sz w:val="24"/>
                  <w:szCs w:val="24"/>
                </w:rPr>
                <w:t>通信保障</w:t>
              </w:r>
            </w:sdtContent>
          </w:sdt>
          <w:r>
            <w:rPr>
              <w:sz w:val="24"/>
              <w:szCs w:val="24"/>
            </w:rPr>
            <w:tab/>
          </w:r>
          <w:bookmarkStart w:id="50" w:name="_Toc17585_WPSOffice_Level1Page"/>
          <w:r>
            <w:rPr>
              <w:sz w:val="24"/>
              <w:szCs w:val="24"/>
            </w:rPr>
            <w:t>59</w:t>
          </w:r>
          <w:bookmarkEnd w:id="50"/>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_Toc21641_WPSOffice_Level1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c3f33f5b-eaac-4aae-8b99-4ba62b02a4eb}"/>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9.6</w:t>
              </w:r>
              <w:r>
                <w:rPr>
                  <w:rFonts w:hint="default" w:ascii="Times New Roman" w:hAnsi="Times New Roman" w:eastAsia="宋体" w:cs="Times New Roman"/>
                  <w:sz w:val="24"/>
                  <w:szCs w:val="24"/>
                </w:rPr>
                <w:t>科技支撑</w:t>
              </w:r>
            </w:sdtContent>
          </w:sdt>
          <w:r>
            <w:rPr>
              <w:sz w:val="24"/>
              <w:szCs w:val="24"/>
            </w:rPr>
            <w:tab/>
          </w:r>
          <w:bookmarkStart w:id="51" w:name="_Toc21641_WPSOffice_Level1Page"/>
          <w:r>
            <w:rPr>
              <w:sz w:val="24"/>
              <w:szCs w:val="24"/>
            </w:rPr>
            <w:t>59</w:t>
          </w:r>
          <w:bookmarkEnd w:id="51"/>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b/>
              <w:bCs/>
              <w:sz w:val="28"/>
              <w:szCs w:val="28"/>
            </w:rPr>
          </w:pPr>
          <w:r>
            <w:rPr>
              <w:b/>
              <w:bCs/>
              <w:sz w:val="28"/>
              <w:szCs w:val="28"/>
            </w:rPr>
            <w:fldChar w:fldCharType="begin"/>
          </w:r>
          <w:r>
            <w:rPr>
              <w:b/>
              <w:bCs/>
              <w:sz w:val="28"/>
              <w:szCs w:val="28"/>
            </w:rPr>
            <w:instrText xml:space="preserve"> HYPERLINK \l _Toc21941_WPSOffice_Level1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81620"/>
              <w:placeholder>
                <w:docPart w:val="{8de918db-f795-4c5c-b571-89e75c0e8785}"/>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10</w:t>
              </w:r>
              <w:r>
                <w:rPr>
                  <w:rFonts w:hint="default" w:ascii="Times New Roman" w:hAnsi="Times New Roman" w:eastAsia="宋体" w:cs="Times New Roman"/>
                  <w:b/>
                  <w:bCs/>
                  <w:sz w:val="28"/>
                  <w:szCs w:val="28"/>
                </w:rPr>
                <w:t>预案管理</w:t>
              </w:r>
            </w:sdtContent>
          </w:sdt>
          <w:r>
            <w:rPr>
              <w:b/>
              <w:bCs/>
              <w:sz w:val="28"/>
              <w:szCs w:val="28"/>
            </w:rPr>
            <w:tab/>
          </w:r>
          <w:bookmarkStart w:id="52" w:name="_Toc21941_WPSOffice_Level1Page"/>
          <w:r>
            <w:rPr>
              <w:b/>
              <w:bCs/>
              <w:sz w:val="28"/>
              <w:szCs w:val="28"/>
            </w:rPr>
            <w:t>60</w:t>
          </w:r>
          <w:bookmarkEnd w:id="52"/>
          <w:r>
            <w:rPr>
              <w:b/>
              <w:bCs/>
              <w:sz w:val="28"/>
              <w:szCs w:val="28"/>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_Toc14791_WPSOffice_Level1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12a9df07-937f-4af8-889e-f38b64da163c}"/>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10.1</w:t>
              </w:r>
              <w:r>
                <w:rPr>
                  <w:rFonts w:hint="default" w:ascii="Times New Roman" w:hAnsi="Times New Roman" w:eastAsia="宋体" w:cs="Times New Roman"/>
                  <w:sz w:val="24"/>
                  <w:szCs w:val="24"/>
                </w:rPr>
                <w:t>应急培训和演练</w:t>
              </w:r>
            </w:sdtContent>
          </w:sdt>
          <w:r>
            <w:rPr>
              <w:sz w:val="24"/>
              <w:szCs w:val="24"/>
            </w:rPr>
            <w:tab/>
          </w:r>
          <w:bookmarkStart w:id="53" w:name="_Toc14791_WPSOffice_Level1Page"/>
          <w:r>
            <w:rPr>
              <w:sz w:val="24"/>
              <w:szCs w:val="24"/>
            </w:rPr>
            <w:t>60</w:t>
          </w:r>
          <w:bookmarkEnd w:id="53"/>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_Toc10682_WPSOffice_Level1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8028ae46-8c53-4a6a-9491-61a20ef41e84}"/>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10.2</w:t>
              </w:r>
              <w:r>
                <w:rPr>
                  <w:rFonts w:hint="default" w:ascii="Times New Roman" w:hAnsi="Times New Roman" w:eastAsia="宋体" w:cs="Times New Roman"/>
                  <w:sz w:val="24"/>
                  <w:szCs w:val="24"/>
                </w:rPr>
                <w:t>宣教培训</w:t>
              </w:r>
            </w:sdtContent>
          </w:sdt>
          <w:r>
            <w:rPr>
              <w:sz w:val="24"/>
              <w:szCs w:val="24"/>
            </w:rPr>
            <w:tab/>
          </w:r>
          <w:bookmarkStart w:id="54" w:name="_Toc10682_WPSOffice_Level1Page"/>
          <w:r>
            <w:rPr>
              <w:sz w:val="24"/>
              <w:szCs w:val="24"/>
            </w:rPr>
            <w:t>61</w:t>
          </w:r>
          <w:bookmarkEnd w:id="54"/>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_Toc19611_WPSOffice_Level1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f3a0b6a1-9696-49b2-82f1-0d3156e36efa}"/>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10.3</w:t>
              </w:r>
              <w:r>
                <w:rPr>
                  <w:rFonts w:hint="default" w:ascii="Times New Roman" w:hAnsi="Times New Roman" w:eastAsia="宋体" w:cs="Times New Roman"/>
                  <w:sz w:val="24"/>
                  <w:szCs w:val="24"/>
                </w:rPr>
                <w:t>责任与奖惩</w:t>
              </w:r>
            </w:sdtContent>
          </w:sdt>
          <w:r>
            <w:rPr>
              <w:sz w:val="24"/>
              <w:szCs w:val="24"/>
            </w:rPr>
            <w:tab/>
          </w:r>
          <w:bookmarkStart w:id="55" w:name="_Toc19611_WPSOffice_Level1Page"/>
          <w:r>
            <w:rPr>
              <w:sz w:val="24"/>
              <w:szCs w:val="24"/>
            </w:rPr>
            <w:t>62</w:t>
          </w:r>
          <w:bookmarkEnd w:id="55"/>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b/>
              <w:bCs/>
              <w:sz w:val="28"/>
              <w:szCs w:val="28"/>
            </w:rPr>
          </w:pPr>
          <w:r>
            <w:rPr>
              <w:b/>
              <w:bCs/>
              <w:sz w:val="28"/>
              <w:szCs w:val="28"/>
            </w:rPr>
            <w:fldChar w:fldCharType="begin"/>
          </w:r>
          <w:r>
            <w:rPr>
              <w:b/>
              <w:bCs/>
              <w:sz w:val="28"/>
              <w:szCs w:val="28"/>
            </w:rPr>
            <w:instrText xml:space="preserve"> HYPERLINK \l _Toc30272_WPSOffice_Level1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81620"/>
              <w:placeholder>
                <w:docPart w:val="{b3ea5ce3-e12c-4036-9efb-70e29603e14d}"/>
              </w:placeholder>
            </w:sdtPr>
            <w:sdtEndPr>
              <w:rPr>
                <w:rFonts w:ascii="Times New Roman" w:hAnsi="Times New Roman" w:eastAsia="宋体" w:cs="Times New Roman"/>
                <w:b/>
                <w:bCs/>
                <w:kern w:val="2"/>
                <w:sz w:val="28"/>
                <w:szCs w:val="28"/>
                <w:lang w:val="en-US" w:eastAsia="zh-CN" w:bidi="ar-SA"/>
              </w:rPr>
            </w:sdtEndPr>
            <w:sdtContent>
              <w:r>
                <w:rPr>
                  <w:rFonts w:hint="eastAsia" w:ascii="Times New Roman" w:hAnsi="Times New Roman" w:eastAsia="宋体" w:cs="Times New Roman"/>
                  <w:b/>
                  <w:bCs/>
                  <w:sz w:val="28"/>
                  <w:szCs w:val="28"/>
                </w:rPr>
                <w:t>11</w:t>
              </w:r>
              <w:r>
                <w:rPr>
                  <w:rFonts w:hint="default" w:ascii="Times New Roman" w:hAnsi="Times New Roman" w:eastAsia="宋体" w:cs="Times New Roman"/>
                  <w:b/>
                  <w:bCs/>
                  <w:sz w:val="28"/>
                  <w:szCs w:val="28"/>
                </w:rPr>
                <w:t>附则</w:t>
              </w:r>
            </w:sdtContent>
          </w:sdt>
          <w:r>
            <w:rPr>
              <w:b/>
              <w:bCs/>
              <w:sz w:val="28"/>
              <w:szCs w:val="28"/>
            </w:rPr>
            <w:tab/>
          </w:r>
          <w:bookmarkStart w:id="56" w:name="_Toc30272_WPSOffice_Level1Page"/>
          <w:r>
            <w:rPr>
              <w:b/>
              <w:bCs/>
              <w:sz w:val="28"/>
              <w:szCs w:val="28"/>
            </w:rPr>
            <w:t>64</w:t>
          </w:r>
          <w:bookmarkEnd w:id="56"/>
          <w:r>
            <w:rPr>
              <w:b/>
              <w:bCs/>
              <w:sz w:val="28"/>
              <w:szCs w:val="28"/>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\l _Toc17192_WPSOffice_Level1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983b9ab7-34e5-4554-b468-5105e3687fd0}"/>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11.1</w:t>
              </w:r>
              <w:r>
                <w:rPr>
                  <w:rFonts w:hint="default" w:ascii="Times New Roman" w:hAnsi="Times New Roman" w:eastAsia="宋体" w:cs="Times New Roman"/>
                  <w:sz w:val="24"/>
                  <w:szCs w:val="24"/>
                </w:rPr>
                <w:t>名词术语定义</w:t>
              </w:r>
            </w:sdtContent>
          </w:sdt>
          <w:r>
            <w:rPr>
              <w:sz w:val="24"/>
              <w:szCs w:val="24"/>
            </w:rPr>
            <w:tab/>
          </w:r>
          <w:bookmarkStart w:id="57" w:name="_Toc17192_WPSOffice_Level1Page"/>
          <w:r>
            <w:rPr>
              <w:sz w:val="24"/>
              <w:szCs w:val="24"/>
            </w:rPr>
            <w:t>64</w:t>
          </w:r>
          <w:bookmarkEnd w:id="57"/>
          <w:r>
            <w:rPr>
              <w:sz w:val="24"/>
              <w:szCs w:val="24"/>
            </w:rPr>
            <w:fldChar w:fldCharType="end"/>
          </w:r>
        </w:p>
        <w:p>
          <w:pPr>
            <w:pStyle w:val="28"/>
            <w:keepNext w:val="0"/>
            <w:keepLines w:val="0"/>
            <w:pageBreakBefore w:val="0"/>
            <w:widowControl/>
            <w:tabs>
              <w:tab w:val="right" w:leader="dot" w:pos="8306"/>
            </w:tabs>
            <w:kinsoku/>
            <w:wordWrap/>
            <w:overflowPunct/>
            <w:topLinePunct w:val="0"/>
            <w:autoSpaceDE/>
            <w:autoSpaceDN/>
            <w:bidi w:val="0"/>
            <w:adjustRightInd/>
            <w:snapToGrid/>
            <w:spacing w:line="360" w:lineRule="auto"/>
            <w:ind w:firstLine="480" w:firstLineChars="200"/>
            <w:textAlignment w:val="auto"/>
          </w:pPr>
          <w:r>
            <w:rPr>
              <w:sz w:val="24"/>
              <w:szCs w:val="24"/>
            </w:rPr>
            <w:fldChar w:fldCharType="begin"/>
          </w:r>
          <w:r>
            <w:rPr>
              <w:sz w:val="24"/>
              <w:szCs w:val="24"/>
            </w:rPr>
            <w:instrText xml:space="preserve"> HYPERLINK \l _Toc15578_WPSOffice_Level1 </w:instrText>
          </w:r>
          <w:r>
            <w:rPr>
              <w:sz w:val="24"/>
              <w:szCs w:val="24"/>
            </w:rPr>
            <w:fldChar w:fldCharType="separate"/>
          </w:r>
          <w:sdt>
            <w:sdtPr>
              <w:rPr>
                <w:rFonts w:ascii="Times New Roman" w:hAnsi="Times New Roman" w:eastAsia="宋体" w:cs="Times New Roman"/>
                <w:b/>
                <w:kern w:val="2"/>
                <w:sz w:val="24"/>
                <w:szCs w:val="24"/>
                <w:lang w:val="en-US" w:eastAsia="zh-CN" w:bidi="ar-SA"/>
              </w:rPr>
              <w:id w:val="147481620"/>
              <w:placeholder>
                <w:docPart w:val="{faa468c4-43ab-40cf-9f0e-1b1bb8e0ba3c}"/>
              </w:placeholder>
            </w:sdtPr>
            <w:sdtEndPr>
              <w:rPr>
                <w:rFonts w:ascii="Times New Roman" w:hAnsi="Times New Roman" w:eastAsia="宋体" w:cs="Times New Roman"/>
                <w:b/>
                <w:kern w:val="2"/>
                <w:sz w:val="24"/>
                <w:szCs w:val="24"/>
                <w:lang w:val="en-US" w:eastAsia="zh-CN" w:bidi="ar-SA"/>
              </w:rPr>
            </w:sdtEndPr>
            <w:sdtContent>
              <w:r>
                <w:rPr>
                  <w:rFonts w:hint="eastAsia" w:ascii="Times New Roman" w:hAnsi="Times New Roman" w:eastAsia="宋体" w:cs="Times New Roman"/>
                  <w:sz w:val="24"/>
                  <w:szCs w:val="24"/>
                </w:rPr>
                <w:t>11.2</w:t>
              </w:r>
              <w:r>
                <w:rPr>
                  <w:rFonts w:hint="default" w:ascii="Times New Roman" w:hAnsi="Times New Roman" w:eastAsia="宋体" w:cs="Times New Roman"/>
                  <w:sz w:val="24"/>
                  <w:szCs w:val="24"/>
                </w:rPr>
                <w:t>预案的制定与修订</w:t>
              </w:r>
            </w:sdtContent>
          </w:sdt>
          <w:r>
            <w:rPr>
              <w:sz w:val="24"/>
              <w:szCs w:val="24"/>
            </w:rPr>
            <w:tab/>
          </w:r>
          <w:bookmarkStart w:id="58" w:name="_Toc15578_WPSOffice_Level1Page"/>
          <w:r>
            <w:rPr>
              <w:sz w:val="24"/>
              <w:szCs w:val="24"/>
            </w:rPr>
            <w:t>64</w:t>
          </w:r>
          <w:bookmarkEnd w:id="58"/>
          <w:r>
            <w:rPr>
              <w:sz w:val="24"/>
              <w:szCs w:val="24"/>
            </w:rPr>
            <w:fldChar w:fldCharType="end"/>
          </w:r>
          <w:bookmarkEnd w:id="0"/>
        </w:p>
      </w:sdtContent>
    </w:sdt>
    <w:p>
      <w:pPr>
        <w:pStyle w:val="19"/>
        <w:rPr>
          <w:rFonts w:hint="eastAsia"/>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pStyle w:val="19"/>
        <w:rPr>
          <w:rFonts w:hint="default"/>
        </w:rPr>
      </w:pPr>
      <w:bookmarkStart w:id="59" w:name="_Toc9504_WPSOffice_Level1"/>
      <w:r>
        <w:rPr>
          <w:rFonts w:hint="eastAsia"/>
          <w:lang w:val="en-US" w:eastAsia="zh-CN"/>
        </w:rPr>
        <w:t>1</w:t>
      </w:r>
      <w:r>
        <w:rPr>
          <w:rFonts w:hint="default"/>
        </w:rPr>
        <w:t>总则</w:t>
      </w:r>
      <w:bookmarkEnd w:id="59"/>
    </w:p>
    <w:p>
      <w:pPr>
        <w:pStyle w:val="20"/>
        <w:rPr>
          <w:rFonts w:hint="default"/>
        </w:rPr>
      </w:pPr>
      <w:bookmarkStart w:id="60" w:name="_Toc29254"/>
      <w:bookmarkStart w:id="61" w:name="_Toc24438"/>
      <w:bookmarkStart w:id="62" w:name="_Toc22352"/>
      <w:bookmarkStart w:id="63" w:name="_Toc17333_WPSOffice_Level1"/>
      <w:r>
        <w:rPr>
          <w:rFonts w:hint="eastAsia"/>
          <w:lang w:val="en-US" w:eastAsia="zh-CN"/>
        </w:rPr>
        <w:t>1.1任务由来及</w:t>
      </w:r>
      <w:r>
        <w:rPr>
          <w:rFonts w:hint="default"/>
        </w:rPr>
        <w:t>编制目的</w:t>
      </w:r>
      <w:bookmarkEnd w:id="60"/>
      <w:bookmarkEnd w:id="61"/>
      <w:bookmarkEnd w:id="62"/>
      <w:bookmarkEnd w:id="63"/>
    </w:p>
    <w:p>
      <w:pPr>
        <w:pStyle w:val="14"/>
        <w:rPr>
          <w:rFonts w:hint="default"/>
        </w:rPr>
      </w:pPr>
      <w:r>
        <w:rPr>
          <w:rFonts w:hint="default"/>
        </w:rPr>
        <w:t>为提高</w:t>
      </w:r>
      <w:r>
        <w:rPr>
          <w:rFonts w:hint="eastAsia"/>
          <w:lang w:eastAsia="zh-CN"/>
        </w:rPr>
        <w:t>中节能环保投资发展（江西）有限公司赣州经济技术开发区工业污水处理厂</w:t>
      </w:r>
      <w:r>
        <w:rPr>
          <w:rFonts w:hint="default"/>
          <w:lang w:val="en-US" w:eastAsia="zh-CN"/>
        </w:rPr>
        <w:t>（以下简称</w:t>
      </w:r>
      <w:r>
        <w:rPr>
          <w:rFonts w:hint="eastAsia"/>
          <w:lang w:val="en-US" w:eastAsia="zh-CN"/>
        </w:rPr>
        <w:t>赣州经开区污水处理厂</w:t>
      </w:r>
      <w:r>
        <w:rPr>
          <w:rFonts w:hint="default"/>
          <w:lang w:val="en-US" w:eastAsia="zh-CN"/>
        </w:rPr>
        <w:t>）</w:t>
      </w:r>
      <w:r>
        <w:rPr>
          <w:rFonts w:hint="default"/>
        </w:rPr>
        <w:t>应对突发环境事件的能力，最大限度地预防和减少突发环境事件的发生及其危害，保护环境，维护社会稳定，保障企业员工、群众生命健康和财产安全，根据《突发环境事件应急预案管理暂行办法》、《</w:t>
      </w:r>
      <w:r>
        <w:rPr>
          <w:rFonts w:hint="default"/>
          <w:lang w:val="en-US" w:eastAsia="zh-CN"/>
        </w:rPr>
        <w:t>关于进一步加强企业事业单位突发环境事件应急预案备案管理工作的通知</w:t>
      </w:r>
      <w:r>
        <w:rPr>
          <w:rFonts w:hint="default"/>
        </w:rPr>
        <w:t>》等相关法律法规，</w:t>
      </w:r>
      <w:r>
        <w:rPr>
          <w:rFonts w:hint="eastAsia"/>
          <w:lang w:eastAsia="zh-CN"/>
        </w:rPr>
        <w:t>中节能环保投资发展（江西）有限公司赣州经济技术开发区工业污水处理厂委托江西南大融汇环境技术有限公司</w:t>
      </w:r>
      <w:r>
        <w:rPr>
          <w:rFonts w:hint="default"/>
          <w:lang w:val="en-US" w:eastAsia="zh-CN"/>
        </w:rPr>
        <w:t>根据</w:t>
      </w:r>
      <w:r>
        <w:rPr>
          <w:rFonts w:hint="default"/>
        </w:rPr>
        <w:t>实际管理和生产情况，编制完成《</w:t>
      </w:r>
      <w:r>
        <w:rPr>
          <w:rFonts w:hint="eastAsia"/>
          <w:lang w:eastAsia="zh-CN"/>
        </w:rPr>
        <w:t>赣州经济技术开发区工业污水处理厂</w:t>
      </w:r>
      <w:r>
        <w:rPr>
          <w:lang w:val="en-US" w:eastAsia="zh-CN"/>
        </w:rPr>
        <w:t>突发环境事件应急预案</w:t>
      </w:r>
      <w:r>
        <w:rPr>
          <w:rFonts w:hint="default"/>
        </w:rPr>
        <w:t>》。</w:t>
      </w:r>
    </w:p>
    <w:p>
      <w:pPr>
        <w:pStyle w:val="20"/>
        <w:rPr>
          <w:rFonts w:hint="default"/>
        </w:rPr>
      </w:pPr>
      <w:bookmarkStart w:id="64" w:name="_Toc30273"/>
      <w:bookmarkStart w:id="65" w:name="_Toc1984"/>
      <w:bookmarkStart w:id="66" w:name="_Toc8719"/>
      <w:bookmarkStart w:id="67" w:name="_Toc30516_WPSOffice_Level1"/>
      <w:r>
        <w:rPr>
          <w:rFonts w:hint="eastAsia"/>
          <w:lang w:val="en-US" w:eastAsia="zh-CN"/>
        </w:rPr>
        <w:t>1.2</w:t>
      </w:r>
      <w:r>
        <w:rPr>
          <w:rFonts w:hint="default"/>
        </w:rPr>
        <w:t>编制依据</w:t>
      </w:r>
      <w:bookmarkEnd w:id="64"/>
      <w:bookmarkEnd w:id="65"/>
      <w:bookmarkEnd w:id="66"/>
      <w:bookmarkEnd w:id="67"/>
    </w:p>
    <w:p>
      <w:pPr>
        <w:pStyle w:val="21"/>
        <w:keepNext w:val="0"/>
        <w:keepLines w:val="0"/>
        <w:pageBreakBefore w:val="0"/>
        <w:widowControl w:val="0"/>
        <w:kinsoku/>
        <w:wordWrap/>
        <w:overflowPunct/>
        <w:topLinePunct w:val="0"/>
        <w:autoSpaceDE/>
        <w:autoSpaceDN/>
        <w:bidi w:val="0"/>
        <w:adjustRightInd/>
        <w:snapToGrid/>
        <w:ind w:left="0" w:leftChars="0" w:firstLine="482" w:firstLineChars="200"/>
        <w:textAlignment w:val="auto"/>
        <w:outlineLvl w:val="2"/>
        <w:rPr>
          <w:rFonts w:hint="default"/>
          <w:lang w:val="en-US" w:eastAsia="zh-CN"/>
        </w:rPr>
      </w:pPr>
      <w:bookmarkStart w:id="68" w:name="_Toc27327"/>
      <w:bookmarkStart w:id="69" w:name="_Toc32607_WPSOffice_Level2"/>
      <w:bookmarkStart w:id="70" w:name="_Toc30197"/>
      <w:bookmarkStart w:id="71" w:name="_Toc22546_WPSOffice_Level2"/>
      <w:r>
        <w:rPr>
          <w:rFonts w:hint="default"/>
          <w:lang w:val="en-US" w:eastAsia="zh-CN"/>
        </w:rPr>
        <w:t>1.2.1法律法规、规章、指导性文件</w:t>
      </w:r>
      <w:bookmarkEnd w:id="68"/>
      <w:bookmarkEnd w:id="69"/>
      <w:bookmarkEnd w:id="70"/>
      <w:bookmarkEnd w:id="71"/>
    </w:p>
    <w:p>
      <w:pPr>
        <w:pStyle w:val="14"/>
        <w:rPr>
          <w:rFonts w:hint="default"/>
        </w:rPr>
      </w:pPr>
      <w:r>
        <w:rPr>
          <w:rFonts w:hint="default"/>
          <w:lang w:eastAsia="zh-CN"/>
        </w:rPr>
        <w:t>（</w:t>
      </w:r>
      <w:r>
        <w:rPr>
          <w:rFonts w:hint="default"/>
          <w:lang w:val="en-US" w:eastAsia="zh-CN"/>
        </w:rPr>
        <w:t>1</w:t>
      </w:r>
      <w:r>
        <w:rPr>
          <w:rFonts w:hint="default"/>
          <w:lang w:eastAsia="zh-CN"/>
        </w:rPr>
        <w:t>）</w:t>
      </w:r>
      <w:r>
        <w:rPr>
          <w:rFonts w:hint="default"/>
        </w:rPr>
        <w:t>《中华人民共和国环境保护法》（1989年12月26日第七届全国人民代表大会常务委员会第十一次会议通过，2014年4月24日第十二届全国人民代表大会常务委员会第八次会议修订，2015年1月1日起施行）；</w:t>
      </w:r>
    </w:p>
    <w:p>
      <w:pPr>
        <w:pStyle w:val="14"/>
        <w:rPr>
          <w:rFonts w:hint="default"/>
        </w:rPr>
      </w:pPr>
      <w:r>
        <w:rPr>
          <w:rFonts w:hint="default"/>
          <w:lang w:eastAsia="zh-CN"/>
        </w:rPr>
        <w:t>（</w:t>
      </w:r>
      <w:r>
        <w:rPr>
          <w:rFonts w:hint="default"/>
          <w:lang w:val="en-US" w:eastAsia="zh-CN"/>
        </w:rPr>
        <w:t>2</w:t>
      </w:r>
      <w:r>
        <w:rPr>
          <w:rFonts w:hint="default"/>
          <w:lang w:eastAsia="zh-CN"/>
        </w:rPr>
        <w:t>）</w:t>
      </w:r>
      <w:r>
        <w:rPr>
          <w:rFonts w:hint="default"/>
        </w:rPr>
        <w:t>《中华人民共和国突发事件应对法》（中华人民共和国第十届全国人民代表大会常务委员会第二十九次会议于2007年8月30日通过，自2007年11月1日起施行）；</w:t>
      </w:r>
    </w:p>
    <w:p>
      <w:pPr>
        <w:pStyle w:val="14"/>
        <w:rPr>
          <w:rFonts w:hint="default"/>
        </w:rPr>
      </w:pPr>
      <w:r>
        <w:rPr>
          <w:rFonts w:hint="default"/>
          <w:lang w:eastAsia="zh-CN"/>
        </w:rPr>
        <w:t>（</w:t>
      </w:r>
      <w:r>
        <w:rPr>
          <w:rFonts w:hint="default"/>
          <w:lang w:val="en-US" w:eastAsia="zh-CN"/>
        </w:rPr>
        <w:t>3</w:t>
      </w:r>
      <w:r>
        <w:rPr>
          <w:rFonts w:hint="default"/>
          <w:lang w:eastAsia="zh-CN"/>
        </w:rPr>
        <w:t>）</w:t>
      </w:r>
      <w:r>
        <w:rPr>
          <w:rFonts w:hint="default"/>
        </w:rPr>
        <w:t>《中华人民共和国安全生产法》（第九届全国人民代表大会常务委员会第二十八次会议于2002年6月29日通过，2014年8 月31日第十二届全国人民代表大会常务委员会第十次会议修订，2014年12月1日实施）；</w:t>
      </w:r>
    </w:p>
    <w:p>
      <w:pPr>
        <w:pStyle w:val="14"/>
        <w:rPr>
          <w:rFonts w:hint="default"/>
        </w:rPr>
      </w:pPr>
      <w:r>
        <w:rPr>
          <w:rFonts w:hint="default"/>
          <w:lang w:eastAsia="zh-CN"/>
        </w:rPr>
        <w:t>（</w:t>
      </w:r>
      <w:r>
        <w:rPr>
          <w:rFonts w:hint="default"/>
          <w:lang w:val="en-US" w:eastAsia="zh-CN"/>
        </w:rPr>
        <w:t>4</w:t>
      </w:r>
      <w:r>
        <w:rPr>
          <w:rFonts w:hint="default"/>
          <w:lang w:eastAsia="zh-CN"/>
        </w:rPr>
        <w:t>）</w:t>
      </w:r>
      <w:r>
        <w:rPr>
          <w:rFonts w:hint="default"/>
        </w:rPr>
        <w:t>《中华人民共和国消防法》（中华人民共和国第十一届全国人民代表大会常务委员会第五次会议于2008年10月28日修订通过，2009年5月1日施行）；</w:t>
      </w:r>
    </w:p>
    <w:p>
      <w:pPr>
        <w:pStyle w:val="14"/>
        <w:rPr>
          <w:rFonts w:hint="default"/>
        </w:rPr>
      </w:pPr>
      <w:r>
        <w:rPr>
          <w:rFonts w:hint="default"/>
          <w:lang w:eastAsia="zh-CN"/>
        </w:rPr>
        <w:t>（</w:t>
      </w:r>
      <w:r>
        <w:rPr>
          <w:rFonts w:hint="default"/>
          <w:lang w:val="en-US" w:eastAsia="zh-CN"/>
        </w:rPr>
        <w:t>5</w:t>
      </w:r>
      <w:r>
        <w:rPr>
          <w:rFonts w:hint="default"/>
          <w:lang w:eastAsia="zh-CN"/>
        </w:rPr>
        <w:t>）</w:t>
      </w:r>
      <w:r>
        <w:rPr>
          <w:rFonts w:hint="default"/>
        </w:rPr>
        <w:t>《危险化学品安全管理条例》（2002年1月26日国务院令第344号公布，2013年12月4日国务院第32次常务会议修订通过，自2013年12月7日起施行）；</w:t>
      </w:r>
    </w:p>
    <w:p>
      <w:pPr>
        <w:pStyle w:val="14"/>
        <w:rPr>
          <w:rFonts w:hint="default"/>
        </w:rPr>
      </w:pPr>
      <w:r>
        <w:rPr>
          <w:rFonts w:hint="default"/>
          <w:lang w:eastAsia="zh-CN"/>
        </w:rPr>
        <w:t>（</w:t>
      </w:r>
      <w:r>
        <w:rPr>
          <w:rFonts w:hint="default"/>
          <w:lang w:val="en-US" w:eastAsia="zh-CN"/>
        </w:rPr>
        <w:t>6</w:t>
      </w:r>
      <w:r>
        <w:rPr>
          <w:rFonts w:hint="default"/>
          <w:lang w:eastAsia="zh-CN"/>
        </w:rPr>
        <w:t>）</w:t>
      </w:r>
      <w:r>
        <w:rPr>
          <w:rFonts w:hint="default"/>
        </w:rPr>
        <w:t>《国务院关于加强环境保护重点工作的意见》（国发〔2011〕35号）；</w:t>
      </w:r>
    </w:p>
    <w:p>
      <w:pPr>
        <w:pStyle w:val="14"/>
        <w:rPr>
          <w:rFonts w:hint="default"/>
        </w:rPr>
      </w:pPr>
      <w:r>
        <w:rPr>
          <w:rFonts w:hint="default"/>
          <w:lang w:eastAsia="zh-CN"/>
        </w:rPr>
        <w:t>（</w:t>
      </w:r>
      <w:r>
        <w:rPr>
          <w:rFonts w:hint="default"/>
          <w:lang w:val="en-US" w:eastAsia="zh-CN"/>
        </w:rPr>
        <w:t>7</w:t>
      </w:r>
      <w:r>
        <w:rPr>
          <w:rFonts w:hint="default"/>
          <w:lang w:eastAsia="zh-CN"/>
        </w:rPr>
        <w:t>）</w:t>
      </w:r>
      <w:r>
        <w:rPr>
          <w:rFonts w:hint="default"/>
        </w:rPr>
        <w:t>《突发事件应急预案管理办法》（国办发〔2013〕101号）；</w:t>
      </w:r>
    </w:p>
    <w:p>
      <w:pPr>
        <w:pStyle w:val="14"/>
        <w:rPr>
          <w:rFonts w:hint="default"/>
        </w:rPr>
      </w:pPr>
      <w:r>
        <w:rPr>
          <w:rFonts w:hint="default"/>
          <w:lang w:eastAsia="zh-CN"/>
        </w:rPr>
        <w:t>（</w:t>
      </w:r>
      <w:r>
        <w:rPr>
          <w:rFonts w:hint="default"/>
          <w:lang w:val="en-US" w:eastAsia="zh-CN"/>
        </w:rPr>
        <w:t>8</w:t>
      </w:r>
      <w:r>
        <w:rPr>
          <w:rFonts w:hint="default"/>
          <w:lang w:eastAsia="zh-CN"/>
        </w:rPr>
        <w:t>）</w:t>
      </w:r>
      <w:r>
        <w:rPr>
          <w:rFonts w:hint="default"/>
        </w:rPr>
        <w:t>《突发环境事件信息报告办法》（环境保护部令第17号）；</w:t>
      </w:r>
    </w:p>
    <w:p>
      <w:pPr>
        <w:pStyle w:val="14"/>
        <w:rPr>
          <w:rFonts w:hint="default"/>
        </w:rPr>
      </w:pPr>
      <w:r>
        <w:rPr>
          <w:rFonts w:hint="default"/>
          <w:lang w:eastAsia="zh-CN"/>
        </w:rPr>
        <w:t>（</w:t>
      </w:r>
      <w:r>
        <w:rPr>
          <w:rFonts w:hint="default"/>
          <w:lang w:val="en-US" w:eastAsia="zh-CN"/>
        </w:rPr>
        <w:t>9</w:t>
      </w:r>
      <w:r>
        <w:rPr>
          <w:rFonts w:hint="default"/>
          <w:lang w:eastAsia="zh-CN"/>
        </w:rPr>
        <w:t>）</w:t>
      </w:r>
      <w:r>
        <w:rPr>
          <w:rFonts w:hint="default"/>
        </w:rPr>
        <w:t>《危险化学品重大危险源监督管理暂行规定》（安全监管总局令第40号）；</w:t>
      </w:r>
    </w:p>
    <w:p>
      <w:pPr>
        <w:pStyle w:val="14"/>
        <w:rPr>
          <w:rFonts w:hint="default"/>
        </w:rPr>
      </w:pPr>
      <w:r>
        <w:rPr>
          <w:rFonts w:hint="default"/>
          <w:lang w:eastAsia="zh-CN"/>
        </w:rPr>
        <w:t>（</w:t>
      </w:r>
      <w:r>
        <w:rPr>
          <w:rFonts w:hint="default"/>
          <w:lang w:val="en-US" w:eastAsia="zh-CN"/>
        </w:rPr>
        <w:t>10</w:t>
      </w:r>
      <w:r>
        <w:rPr>
          <w:rFonts w:hint="default"/>
          <w:lang w:eastAsia="zh-CN"/>
        </w:rPr>
        <w:t>）</w:t>
      </w:r>
      <w:r>
        <w:rPr>
          <w:rFonts w:hint="default"/>
        </w:rPr>
        <w:t>《企业事业单位突发环境事件应急预案备案管理办法（试行）》（环发[2015]4号）；</w:t>
      </w:r>
    </w:p>
    <w:p>
      <w:pPr>
        <w:pStyle w:val="14"/>
        <w:rPr>
          <w:rFonts w:hint="default"/>
        </w:rPr>
      </w:pPr>
      <w:r>
        <w:rPr>
          <w:rFonts w:hint="default"/>
          <w:lang w:eastAsia="zh-CN"/>
        </w:rPr>
        <w:t>（</w:t>
      </w:r>
      <w:r>
        <w:rPr>
          <w:rFonts w:hint="default"/>
          <w:lang w:val="en-US" w:eastAsia="zh-CN"/>
        </w:rPr>
        <w:t>11</w:t>
      </w:r>
      <w:r>
        <w:rPr>
          <w:rFonts w:hint="default"/>
          <w:lang w:eastAsia="zh-CN"/>
        </w:rPr>
        <w:t>）</w:t>
      </w:r>
      <w:r>
        <w:rPr>
          <w:rFonts w:hint="default"/>
        </w:rPr>
        <w:t>《建设项目环境影响评价分类管理名录》（2018年4月28日修订）；</w:t>
      </w:r>
    </w:p>
    <w:p>
      <w:pPr>
        <w:pStyle w:val="14"/>
        <w:rPr>
          <w:rFonts w:hint="default"/>
        </w:rPr>
      </w:pPr>
      <w:r>
        <w:rPr>
          <w:rFonts w:hint="default"/>
          <w:lang w:eastAsia="zh-CN"/>
        </w:rPr>
        <w:t>（</w:t>
      </w:r>
      <w:r>
        <w:rPr>
          <w:rFonts w:hint="default"/>
          <w:lang w:val="en-US" w:eastAsia="zh-CN"/>
        </w:rPr>
        <w:t>12</w:t>
      </w:r>
      <w:r>
        <w:rPr>
          <w:rFonts w:hint="default"/>
          <w:lang w:eastAsia="zh-CN"/>
        </w:rPr>
        <w:t>）</w:t>
      </w:r>
      <w:r>
        <w:rPr>
          <w:rFonts w:hint="default"/>
        </w:rPr>
        <w:t>《产业结构调整指导目录》（2013修订）；</w:t>
      </w:r>
    </w:p>
    <w:p>
      <w:pPr>
        <w:pStyle w:val="14"/>
        <w:rPr>
          <w:rFonts w:hint="default"/>
        </w:rPr>
      </w:pPr>
      <w:r>
        <w:rPr>
          <w:rFonts w:hint="default"/>
          <w:lang w:eastAsia="zh-CN"/>
        </w:rPr>
        <w:t>（</w:t>
      </w:r>
      <w:r>
        <w:rPr>
          <w:rFonts w:hint="default"/>
          <w:lang w:val="en-US" w:eastAsia="zh-CN"/>
        </w:rPr>
        <w:t>13</w:t>
      </w:r>
      <w:r>
        <w:rPr>
          <w:rFonts w:hint="default"/>
          <w:lang w:eastAsia="zh-CN"/>
        </w:rPr>
        <w:t>）</w:t>
      </w:r>
      <w:r>
        <w:rPr>
          <w:rFonts w:hint="default"/>
        </w:rPr>
        <w:t>《国家重点监管危险化学品名录》（2013年完整版）。</w:t>
      </w:r>
    </w:p>
    <w:p>
      <w:pPr>
        <w:pStyle w:val="14"/>
        <w:rPr>
          <w:rFonts w:hint="default"/>
        </w:rPr>
      </w:pPr>
      <w:r>
        <w:rPr>
          <w:rFonts w:hint="default"/>
          <w:lang w:eastAsia="zh-CN"/>
        </w:rPr>
        <w:t>（</w:t>
      </w:r>
      <w:r>
        <w:rPr>
          <w:rFonts w:hint="default"/>
          <w:lang w:val="en-US" w:eastAsia="zh-CN"/>
        </w:rPr>
        <w:t>14</w:t>
      </w:r>
      <w:r>
        <w:rPr>
          <w:rFonts w:hint="default"/>
          <w:lang w:eastAsia="zh-CN"/>
        </w:rPr>
        <w:t>）</w:t>
      </w:r>
      <w:r>
        <w:rPr>
          <w:rFonts w:hint="default"/>
        </w:rPr>
        <w:t>《企业突发环境事件隐患排查和治理工作指南（试行）》（环境保护部公告2016年第74号）；</w:t>
      </w:r>
    </w:p>
    <w:p>
      <w:pPr>
        <w:pStyle w:val="21"/>
        <w:rPr>
          <w:rFonts w:hint="default"/>
          <w:lang w:val="zh-CN" w:eastAsia="zh-CN"/>
        </w:rPr>
      </w:pPr>
      <w:bookmarkStart w:id="72" w:name="_Toc14152"/>
      <w:bookmarkStart w:id="73" w:name="_Toc24012_WPSOffice_Level2"/>
      <w:bookmarkStart w:id="74" w:name="_Toc20293_WPSOffice_Level2"/>
      <w:bookmarkStart w:id="75" w:name="_Toc22431"/>
      <w:r>
        <w:rPr>
          <w:rFonts w:hint="default"/>
          <w:lang w:val="en-US" w:eastAsia="zh-CN"/>
        </w:rPr>
        <w:t>1.2.2</w:t>
      </w:r>
      <w:r>
        <w:rPr>
          <w:rFonts w:hint="default"/>
          <w:lang w:val="zh-CN" w:eastAsia="zh-CN"/>
        </w:rPr>
        <w:t>标准、技术规范</w:t>
      </w:r>
      <w:bookmarkEnd w:id="72"/>
      <w:bookmarkEnd w:id="73"/>
      <w:bookmarkEnd w:id="74"/>
      <w:bookmarkEnd w:id="75"/>
    </w:p>
    <w:p>
      <w:pPr>
        <w:pStyle w:val="14"/>
        <w:rPr>
          <w:rFonts w:hint="default"/>
        </w:rPr>
      </w:pPr>
      <w:r>
        <w:rPr>
          <w:rFonts w:hint="default"/>
          <w:lang w:eastAsia="zh-CN"/>
        </w:rPr>
        <w:t>（</w:t>
      </w:r>
      <w:r>
        <w:rPr>
          <w:rFonts w:hint="default"/>
          <w:lang w:val="en-US" w:eastAsia="zh-CN"/>
        </w:rPr>
        <w:t>1</w:t>
      </w:r>
      <w:r>
        <w:rPr>
          <w:rFonts w:hint="default"/>
          <w:lang w:eastAsia="zh-CN"/>
        </w:rPr>
        <w:t>）</w:t>
      </w:r>
      <w:r>
        <w:rPr>
          <w:rFonts w:hint="default"/>
        </w:rPr>
        <w:t>《危险化学品重大危险源辨识》（GB18218-</w:t>
      </w:r>
      <w:r>
        <w:rPr>
          <w:rFonts w:hint="default"/>
          <w:lang w:val="en-US" w:eastAsia="zh-CN"/>
        </w:rPr>
        <w:t>2014</w:t>
      </w:r>
      <w:r>
        <w:rPr>
          <w:rFonts w:hint="default"/>
        </w:rPr>
        <w:t>）；</w:t>
      </w:r>
    </w:p>
    <w:p>
      <w:pPr>
        <w:pStyle w:val="14"/>
        <w:rPr>
          <w:rFonts w:hint="default"/>
        </w:rPr>
      </w:pPr>
      <w:r>
        <w:rPr>
          <w:rFonts w:hint="default"/>
          <w:lang w:eastAsia="zh-CN"/>
        </w:rPr>
        <w:t>（</w:t>
      </w:r>
      <w:r>
        <w:rPr>
          <w:rFonts w:hint="default"/>
          <w:lang w:val="en-US" w:eastAsia="zh-CN"/>
        </w:rPr>
        <w:t>2</w:t>
      </w:r>
      <w:r>
        <w:rPr>
          <w:rFonts w:hint="default"/>
          <w:lang w:eastAsia="zh-CN"/>
        </w:rPr>
        <w:t>）</w:t>
      </w:r>
      <w:r>
        <w:rPr>
          <w:rFonts w:hint="default"/>
        </w:rPr>
        <w:t>《建筑设计防火规范》（GB50016-2014）；</w:t>
      </w:r>
    </w:p>
    <w:p>
      <w:pPr>
        <w:pStyle w:val="14"/>
        <w:rPr>
          <w:rFonts w:hint="default"/>
        </w:rPr>
      </w:pPr>
      <w:r>
        <w:rPr>
          <w:rFonts w:hint="default"/>
          <w:lang w:eastAsia="zh-CN"/>
        </w:rPr>
        <w:t>（</w:t>
      </w:r>
      <w:r>
        <w:rPr>
          <w:rFonts w:hint="default"/>
          <w:lang w:val="en-US" w:eastAsia="zh-CN"/>
        </w:rPr>
        <w:t>3</w:t>
      </w:r>
      <w:r>
        <w:rPr>
          <w:rFonts w:hint="default"/>
          <w:lang w:eastAsia="zh-CN"/>
        </w:rPr>
        <w:t>）</w:t>
      </w:r>
      <w:r>
        <w:rPr>
          <w:rFonts w:hint="default"/>
        </w:rPr>
        <w:t>《化学品分类和标签规范》（GB30000-2013）；</w:t>
      </w:r>
    </w:p>
    <w:p>
      <w:pPr>
        <w:pStyle w:val="14"/>
        <w:rPr>
          <w:rFonts w:hint="default"/>
        </w:rPr>
      </w:pPr>
      <w:r>
        <w:rPr>
          <w:rFonts w:hint="default"/>
          <w:lang w:eastAsia="zh-CN"/>
        </w:rPr>
        <w:t>（</w:t>
      </w:r>
      <w:r>
        <w:rPr>
          <w:rFonts w:hint="default"/>
          <w:lang w:val="en-US" w:eastAsia="zh-CN"/>
        </w:rPr>
        <w:t>4</w:t>
      </w:r>
      <w:r>
        <w:rPr>
          <w:rFonts w:hint="default"/>
          <w:lang w:eastAsia="zh-CN"/>
        </w:rPr>
        <w:t>）</w:t>
      </w:r>
      <w:r>
        <w:rPr>
          <w:rFonts w:hint="default"/>
        </w:rPr>
        <w:t>《环境影响评价技术导则地下水环境》（HJ610-2016）；</w:t>
      </w:r>
    </w:p>
    <w:p>
      <w:pPr>
        <w:pStyle w:val="14"/>
        <w:rPr>
          <w:rFonts w:hint="default"/>
        </w:rPr>
      </w:pPr>
      <w:r>
        <w:rPr>
          <w:rFonts w:hint="default"/>
          <w:lang w:eastAsia="zh-CN"/>
        </w:rPr>
        <w:t>（</w:t>
      </w:r>
      <w:r>
        <w:rPr>
          <w:rFonts w:hint="default"/>
          <w:lang w:val="en-US" w:eastAsia="zh-CN"/>
        </w:rPr>
        <w:t>5</w:t>
      </w:r>
      <w:r>
        <w:rPr>
          <w:rFonts w:hint="default"/>
          <w:lang w:eastAsia="zh-CN"/>
        </w:rPr>
        <w:t>）</w:t>
      </w:r>
      <w:r>
        <w:rPr>
          <w:rFonts w:hint="default"/>
        </w:rPr>
        <w:t>《建设项目环境风险评价技术导则》（HJ/T169-2004）；</w:t>
      </w:r>
    </w:p>
    <w:p>
      <w:pPr>
        <w:pStyle w:val="14"/>
        <w:rPr>
          <w:rFonts w:hint="default"/>
        </w:rPr>
      </w:pPr>
      <w:r>
        <w:rPr>
          <w:rFonts w:hint="default"/>
          <w:lang w:eastAsia="zh-CN"/>
        </w:rPr>
        <w:t>（</w:t>
      </w:r>
      <w:r>
        <w:rPr>
          <w:rFonts w:hint="default"/>
          <w:lang w:val="en-US" w:eastAsia="zh-CN"/>
        </w:rPr>
        <w:t>6</w:t>
      </w:r>
      <w:r>
        <w:rPr>
          <w:rFonts w:hint="default"/>
          <w:lang w:eastAsia="zh-CN"/>
        </w:rPr>
        <w:t>）</w:t>
      </w:r>
      <w:r>
        <w:rPr>
          <w:rFonts w:hint="default"/>
        </w:rPr>
        <w:t>《废水排放去向代码》（HJ523-2009）；</w:t>
      </w:r>
    </w:p>
    <w:p>
      <w:pPr>
        <w:pStyle w:val="14"/>
        <w:rPr>
          <w:rFonts w:hint="default"/>
        </w:rPr>
      </w:pPr>
      <w:r>
        <w:rPr>
          <w:rFonts w:hint="default"/>
          <w:lang w:eastAsia="zh-CN"/>
        </w:rPr>
        <w:t>（</w:t>
      </w:r>
      <w:r>
        <w:rPr>
          <w:rFonts w:hint="default"/>
          <w:lang w:val="en-US" w:eastAsia="zh-CN"/>
        </w:rPr>
        <w:t>7</w:t>
      </w:r>
      <w:r>
        <w:rPr>
          <w:rFonts w:hint="default"/>
          <w:lang w:eastAsia="zh-CN"/>
        </w:rPr>
        <w:t>）</w:t>
      </w:r>
      <w:r>
        <w:rPr>
          <w:rFonts w:hint="default"/>
        </w:rPr>
        <w:t>《化学品毒性鉴定技术规范》（卫监督发〔2005〕272号）；</w:t>
      </w:r>
    </w:p>
    <w:p>
      <w:pPr>
        <w:pStyle w:val="14"/>
        <w:rPr>
          <w:rFonts w:hint="default"/>
        </w:rPr>
      </w:pPr>
      <w:r>
        <w:rPr>
          <w:rFonts w:hint="default"/>
          <w:lang w:eastAsia="zh-CN"/>
        </w:rPr>
        <w:t>（</w:t>
      </w:r>
      <w:r>
        <w:rPr>
          <w:rFonts w:hint="default"/>
          <w:lang w:val="en-US" w:eastAsia="zh-CN"/>
        </w:rPr>
        <w:t>8</w:t>
      </w:r>
      <w:r>
        <w:rPr>
          <w:rFonts w:hint="default"/>
          <w:lang w:eastAsia="zh-CN"/>
        </w:rPr>
        <w:t>）</w:t>
      </w:r>
      <w:r>
        <w:rPr>
          <w:rFonts w:hint="default"/>
        </w:rPr>
        <w:t>《事故状态下水体污染的预防与控制技术要求》（中国石油企业标准Q/SY1190-2013）；</w:t>
      </w:r>
    </w:p>
    <w:p>
      <w:pPr>
        <w:pStyle w:val="14"/>
        <w:rPr>
          <w:rFonts w:hint="default"/>
        </w:rPr>
      </w:pPr>
      <w:r>
        <w:rPr>
          <w:rFonts w:hint="default"/>
          <w:lang w:eastAsia="zh-CN"/>
        </w:rPr>
        <w:t>（</w:t>
      </w:r>
      <w:r>
        <w:rPr>
          <w:rFonts w:hint="default"/>
          <w:lang w:val="en-US" w:eastAsia="zh-CN"/>
        </w:rPr>
        <w:t>9</w:t>
      </w:r>
      <w:r>
        <w:rPr>
          <w:rFonts w:hint="default"/>
          <w:lang w:eastAsia="zh-CN"/>
        </w:rPr>
        <w:t>）</w:t>
      </w:r>
      <w:r>
        <w:rPr>
          <w:rFonts w:hint="default"/>
        </w:rPr>
        <w:t>《水体污染事故风险预防与控制措施运行管理要求》（中国石油企业标准Q/SY1310-2010）；</w:t>
      </w:r>
    </w:p>
    <w:p>
      <w:pPr>
        <w:pStyle w:val="14"/>
        <w:rPr>
          <w:rFonts w:hint="default"/>
        </w:rPr>
      </w:pPr>
      <w:r>
        <w:rPr>
          <w:rFonts w:hint="default"/>
          <w:lang w:eastAsia="zh-CN"/>
        </w:rPr>
        <w:t>（</w:t>
      </w:r>
      <w:r>
        <w:rPr>
          <w:rFonts w:hint="default"/>
          <w:lang w:val="en-US" w:eastAsia="zh-CN"/>
        </w:rPr>
        <w:t>10</w:t>
      </w:r>
      <w:r>
        <w:rPr>
          <w:rFonts w:hint="default"/>
          <w:lang w:eastAsia="zh-CN"/>
        </w:rPr>
        <w:t>）</w:t>
      </w:r>
      <w:r>
        <w:rPr>
          <w:rFonts w:hint="default"/>
        </w:rPr>
        <w:t>《危险化学品名录》（2015版）；</w:t>
      </w:r>
    </w:p>
    <w:p>
      <w:pPr>
        <w:pStyle w:val="14"/>
        <w:rPr>
          <w:rFonts w:hint="default"/>
        </w:rPr>
      </w:pPr>
      <w:r>
        <w:rPr>
          <w:rFonts w:hint="default"/>
          <w:lang w:eastAsia="zh-CN"/>
        </w:rPr>
        <w:t>（</w:t>
      </w:r>
      <w:r>
        <w:rPr>
          <w:rFonts w:hint="default"/>
          <w:lang w:val="en-US" w:eastAsia="zh-CN"/>
        </w:rPr>
        <w:t>11</w:t>
      </w:r>
      <w:r>
        <w:rPr>
          <w:rFonts w:hint="default"/>
          <w:lang w:eastAsia="zh-CN"/>
        </w:rPr>
        <w:t>）</w:t>
      </w:r>
      <w:r>
        <w:rPr>
          <w:rFonts w:hint="default"/>
        </w:rPr>
        <w:t>《生产经营单位安全生产事故应急预案编制导则》 （GB/T29639-2013）；</w:t>
      </w:r>
    </w:p>
    <w:p>
      <w:pPr>
        <w:pStyle w:val="14"/>
        <w:rPr>
          <w:rFonts w:hint="default"/>
        </w:rPr>
      </w:pPr>
      <w:r>
        <w:rPr>
          <w:rFonts w:hint="default"/>
          <w:lang w:eastAsia="zh-CN"/>
        </w:rPr>
        <w:t>（</w:t>
      </w:r>
      <w:r>
        <w:rPr>
          <w:rFonts w:hint="default"/>
          <w:lang w:val="en-US" w:eastAsia="zh-CN"/>
        </w:rPr>
        <w:t>12</w:t>
      </w:r>
      <w:r>
        <w:rPr>
          <w:rFonts w:hint="default"/>
          <w:lang w:eastAsia="zh-CN"/>
        </w:rPr>
        <w:t>）</w:t>
      </w:r>
      <w:r>
        <w:rPr>
          <w:rFonts w:hint="default"/>
        </w:rPr>
        <w:t>《消防给水及消防栓系统技术设计规范》（GB50974-2014）；</w:t>
      </w:r>
    </w:p>
    <w:p>
      <w:pPr>
        <w:pStyle w:val="14"/>
        <w:rPr>
          <w:rFonts w:hint="default"/>
        </w:rPr>
      </w:pPr>
      <w:r>
        <w:rPr>
          <w:rFonts w:hint="default"/>
          <w:lang w:eastAsia="zh-CN"/>
        </w:rPr>
        <w:t>（</w:t>
      </w:r>
      <w:r>
        <w:rPr>
          <w:rFonts w:hint="default"/>
          <w:lang w:val="en-US" w:eastAsia="zh-CN"/>
        </w:rPr>
        <w:t>13</w:t>
      </w:r>
      <w:r>
        <w:rPr>
          <w:rFonts w:hint="default"/>
          <w:lang w:eastAsia="zh-CN"/>
        </w:rPr>
        <w:t>）</w:t>
      </w:r>
      <w:r>
        <w:rPr>
          <w:rFonts w:hint="default"/>
        </w:rPr>
        <w:t>《建筑灭火器配置设计规范》(GB50140-2010)；</w:t>
      </w:r>
    </w:p>
    <w:p>
      <w:pPr>
        <w:pStyle w:val="14"/>
        <w:rPr>
          <w:rFonts w:hint="default"/>
        </w:rPr>
      </w:pPr>
      <w:r>
        <w:rPr>
          <w:rFonts w:hint="default"/>
          <w:lang w:eastAsia="zh-CN"/>
        </w:rPr>
        <w:t>（</w:t>
      </w:r>
      <w:r>
        <w:rPr>
          <w:rFonts w:hint="default"/>
          <w:lang w:val="en-US" w:eastAsia="zh-CN"/>
        </w:rPr>
        <w:t>14</w:t>
      </w:r>
      <w:r>
        <w:rPr>
          <w:rFonts w:hint="default"/>
          <w:lang w:eastAsia="zh-CN"/>
        </w:rPr>
        <w:t>）</w:t>
      </w:r>
      <w:r>
        <w:rPr>
          <w:rFonts w:hint="default"/>
        </w:rPr>
        <w:t>《危险化学品单位应急救援物资配备要求危化品应急物资配备标准》（GB30077-2013)；</w:t>
      </w:r>
    </w:p>
    <w:p>
      <w:pPr>
        <w:pStyle w:val="14"/>
        <w:rPr>
          <w:rFonts w:hint="default"/>
        </w:rPr>
      </w:pPr>
      <w:r>
        <w:rPr>
          <w:rFonts w:hint="default"/>
          <w:lang w:eastAsia="zh-CN"/>
        </w:rPr>
        <w:t>（</w:t>
      </w:r>
      <w:r>
        <w:rPr>
          <w:rFonts w:hint="default"/>
          <w:lang w:val="en-US" w:eastAsia="zh-CN"/>
        </w:rPr>
        <w:t>15</w:t>
      </w:r>
      <w:r>
        <w:rPr>
          <w:rFonts w:hint="default"/>
          <w:lang w:eastAsia="zh-CN"/>
        </w:rPr>
        <w:t>）</w:t>
      </w:r>
      <w:r>
        <w:rPr>
          <w:rFonts w:hint="default"/>
        </w:rPr>
        <w:t>《危险化学品安全措施和处置原则》；</w:t>
      </w:r>
    </w:p>
    <w:p>
      <w:pPr>
        <w:pStyle w:val="14"/>
        <w:rPr>
          <w:rFonts w:hint="default"/>
        </w:rPr>
      </w:pPr>
      <w:r>
        <w:rPr>
          <w:rFonts w:hint="default"/>
          <w:lang w:eastAsia="zh-CN"/>
        </w:rPr>
        <w:t>（</w:t>
      </w:r>
      <w:r>
        <w:rPr>
          <w:rFonts w:hint="default"/>
          <w:lang w:val="en-US" w:eastAsia="zh-CN"/>
        </w:rPr>
        <w:t>16</w:t>
      </w:r>
      <w:r>
        <w:rPr>
          <w:rFonts w:hint="default"/>
          <w:lang w:eastAsia="zh-CN"/>
        </w:rPr>
        <w:t>）</w:t>
      </w:r>
      <w:r>
        <w:rPr>
          <w:rFonts w:hint="default"/>
        </w:rPr>
        <w:t>《环境空气质量标准》（GB3095-2012）；</w:t>
      </w:r>
    </w:p>
    <w:p>
      <w:pPr>
        <w:pStyle w:val="14"/>
        <w:rPr>
          <w:rFonts w:hint="default"/>
        </w:rPr>
      </w:pPr>
      <w:r>
        <w:rPr>
          <w:rFonts w:hint="default"/>
          <w:lang w:eastAsia="zh-CN"/>
        </w:rPr>
        <w:t>（</w:t>
      </w:r>
      <w:r>
        <w:rPr>
          <w:rFonts w:hint="default"/>
          <w:lang w:val="en-US" w:eastAsia="zh-CN"/>
        </w:rPr>
        <w:t>17</w:t>
      </w:r>
      <w:r>
        <w:rPr>
          <w:rFonts w:hint="default"/>
          <w:lang w:eastAsia="zh-CN"/>
        </w:rPr>
        <w:t>）</w:t>
      </w:r>
      <w:r>
        <w:rPr>
          <w:rFonts w:hint="default"/>
        </w:rPr>
        <w:t>《地下水质量标准》（GB/T14848-</w:t>
      </w:r>
      <w:r>
        <w:rPr>
          <w:rFonts w:hint="default"/>
          <w:lang w:val="en-US" w:eastAsia="zh-CN"/>
        </w:rPr>
        <w:t>2017</w:t>
      </w:r>
      <w:r>
        <w:rPr>
          <w:rFonts w:hint="default"/>
        </w:rPr>
        <w:t>)；</w:t>
      </w:r>
    </w:p>
    <w:p>
      <w:pPr>
        <w:pStyle w:val="14"/>
        <w:rPr>
          <w:rFonts w:hint="default"/>
        </w:rPr>
      </w:pPr>
      <w:r>
        <w:rPr>
          <w:rFonts w:hint="default"/>
          <w:lang w:eastAsia="zh-CN"/>
        </w:rPr>
        <w:t>（</w:t>
      </w:r>
      <w:r>
        <w:rPr>
          <w:rFonts w:hint="default"/>
          <w:lang w:val="en-US" w:eastAsia="zh-CN"/>
        </w:rPr>
        <w:t>18</w:t>
      </w:r>
      <w:r>
        <w:rPr>
          <w:rFonts w:hint="default"/>
          <w:lang w:eastAsia="zh-CN"/>
        </w:rPr>
        <w:t>）</w:t>
      </w:r>
      <w:r>
        <w:rPr>
          <w:rFonts w:hint="default"/>
        </w:rPr>
        <w:t>《地表水环境质量标准》（GB3838-2002）；</w:t>
      </w:r>
    </w:p>
    <w:p>
      <w:pPr>
        <w:pStyle w:val="14"/>
        <w:rPr>
          <w:rFonts w:hint="default"/>
        </w:rPr>
      </w:pPr>
      <w:r>
        <w:rPr>
          <w:rFonts w:hint="default"/>
          <w:lang w:eastAsia="zh-CN"/>
        </w:rPr>
        <w:t>（</w:t>
      </w:r>
      <w:r>
        <w:rPr>
          <w:rFonts w:hint="default"/>
          <w:lang w:val="en-US" w:eastAsia="zh-CN"/>
        </w:rPr>
        <w:t>19</w:t>
      </w:r>
      <w:r>
        <w:rPr>
          <w:rFonts w:hint="default"/>
          <w:lang w:eastAsia="zh-CN"/>
        </w:rPr>
        <w:t>）</w:t>
      </w:r>
      <w:r>
        <w:rPr>
          <w:rFonts w:hint="default"/>
        </w:rPr>
        <w:t>《声环境质量标准》（GB3096-2008）；</w:t>
      </w:r>
    </w:p>
    <w:p>
      <w:pPr>
        <w:pStyle w:val="14"/>
        <w:rPr>
          <w:rFonts w:hint="default"/>
        </w:rPr>
      </w:pPr>
      <w:r>
        <w:rPr>
          <w:rFonts w:hint="default"/>
          <w:lang w:eastAsia="zh-CN"/>
        </w:rPr>
        <w:t>（</w:t>
      </w:r>
      <w:r>
        <w:rPr>
          <w:rFonts w:hint="default"/>
          <w:lang w:val="en-US" w:eastAsia="zh-CN"/>
        </w:rPr>
        <w:t>20</w:t>
      </w:r>
      <w:r>
        <w:rPr>
          <w:rFonts w:hint="default"/>
          <w:lang w:eastAsia="zh-CN"/>
        </w:rPr>
        <w:t>）</w:t>
      </w:r>
      <w:r>
        <w:rPr>
          <w:rFonts w:hint="default"/>
        </w:rPr>
        <w:t>《工业企业厂界环境噪声排放标准》（GB12348—2008)；</w:t>
      </w:r>
    </w:p>
    <w:p>
      <w:pPr>
        <w:pStyle w:val="14"/>
        <w:rPr>
          <w:rFonts w:hint="default"/>
        </w:rPr>
      </w:pPr>
      <w:r>
        <w:rPr>
          <w:rFonts w:hint="default"/>
          <w:lang w:eastAsia="zh-CN"/>
        </w:rPr>
        <w:t>（</w:t>
      </w:r>
      <w:r>
        <w:rPr>
          <w:rFonts w:hint="default"/>
          <w:lang w:val="en-US" w:eastAsia="zh-CN"/>
        </w:rPr>
        <w:t>21</w:t>
      </w:r>
      <w:r>
        <w:rPr>
          <w:rFonts w:hint="default"/>
          <w:lang w:eastAsia="zh-CN"/>
        </w:rPr>
        <w:t>）</w:t>
      </w:r>
      <w:r>
        <w:rPr>
          <w:rFonts w:hint="default"/>
        </w:rPr>
        <w:t>《大气污染物综合排放标准》GB16297-1996；</w:t>
      </w:r>
    </w:p>
    <w:p>
      <w:pPr>
        <w:pStyle w:val="14"/>
        <w:rPr>
          <w:rFonts w:hint="default"/>
        </w:rPr>
      </w:pPr>
      <w:r>
        <w:rPr>
          <w:rFonts w:hint="default"/>
          <w:lang w:eastAsia="zh-CN"/>
        </w:rPr>
        <w:t>（</w:t>
      </w:r>
      <w:r>
        <w:rPr>
          <w:rFonts w:hint="default"/>
          <w:lang w:val="en-US" w:eastAsia="zh-CN"/>
        </w:rPr>
        <w:t>22</w:t>
      </w:r>
      <w:r>
        <w:rPr>
          <w:rFonts w:hint="default"/>
          <w:lang w:eastAsia="zh-CN"/>
        </w:rPr>
        <w:t>）</w:t>
      </w:r>
      <w:r>
        <w:rPr>
          <w:rFonts w:hint="default"/>
        </w:rPr>
        <w:t>《危险化学品事故应急救援指挥导则》（AQ/T3052-2015）；</w:t>
      </w:r>
    </w:p>
    <w:p>
      <w:pPr>
        <w:pStyle w:val="14"/>
        <w:rPr>
          <w:rFonts w:hint="default"/>
        </w:rPr>
      </w:pPr>
      <w:bookmarkStart w:id="76" w:name="_Toc13779"/>
      <w:r>
        <w:rPr>
          <w:rFonts w:hint="default"/>
          <w:lang w:eastAsia="zh-CN"/>
        </w:rPr>
        <w:t>（</w:t>
      </w:r>
      <w:r>
        <w:rPr>
          <w:rFonts w:hint="default"/>
          <w:lang w:val="en-US" w:eastAsia="zh-CN"/>
        </w:rPr>
        <w:t>23</w:t>
      </w:r>
      <w:r>
        <w:rPr>
          <w:rFonts w:hint="default"/>
          <w:lang w:eastAsia="zh-CN"/>
        </w:rPr>
        <w:t>）</w:t>
      </w:r>
      <w:r>
        <w:rPr>
          <w:rFonts w:hint="default"/>
        </w:rPr>
        <w:t>《危险化学品单位应急物资配备要求》(GB30077-2013)；</w:t>
      </w:r>
      <w:bookmarkEnd w:id="76"/>
    </w:p>
    <w:p>
      <w:pPr>
        <w:pStyle w:val="14"/>
        <w:rPr>
          <w:rFonts w:hint="default"/>
        </w:rPr>
      </w:pPr>
      <w:r>
        <w:rPr>
          <w:rFonts w:hint="default"/>
          <w:lang w:eastAsia="zh-CN"/>
        </w:rPr>
        <w:t>（</w:t>
      </w:r>
      <w:r>
        <w:rPr>
          <w:rFonts w:hint="default"/>
          <w:lang w:val="en-US" w:eastAsia="zh-CN"/>
        </w:rPr>
        <w:t>24</w:t>
      </w:r>
      <w:r>
        <w:rPr>
          <w:rFonts w:hint="default"/>
          <w:lang w:eastAsia="zh-CN"/>
        </w:rPr>
        <w:t>）</w:t>
      </w:r>
      <w:r>
        <w:rPr>
          <w:rFonts w:hint="default"/>
        </w:rPr>
        <w:t>《企业事业单位突发环境事件应急预案评审工作指南（试行）》（环办应急[2018]8号）；</w:t>
      </w:r>
    </w:p>
    <w:p>
      <w:pPr>
        <w:pStyle w:val="14"/>
        <w:rPr>
          <w:rFonts w:hint="default"/>
        </w:rPr>
      </w:pPr>
      <w:r>
        <w:rPr>
          <w:rFonts w:hint="default"/>
          <w:lang w:eastAsia="zh-CN"/>
        </w:rPr>
        <w:t>（</w:t>
      </w:r>
      <w:r>
        <w:rPr>
          <w:rFonts w:hint="default"/>
          <w:lang w:val="en-US" w:eastAsia="zh-CN"/>
        </w:rPr>
        <w:t>25</w:t>
      </w:r>
      <w:r>
        <w:rPr>
          <w:rFonts w:hint="default"/>
          <w:lang w:eastAsia="zh-CN"/>
        </w:rPr>
        <w:t>）</w:t>
      </w:r>
      <w:r>
        <w:rPr>
          <w:rFonts w:hint="default"/>
        </w:rPr>
        <w:t>《企业突发环境事件风险评估指南(试行)》（环办[2014]34号）；</w:t>
      </w:r>
    </w:p>
    <w:p>
      <w:pPr>
        <w:pStyle w:val="14"/>
        <w:rPr>
          <w:rFonts w:hint="default"/>
        </w:rPr>
      </w:pPr>
      <w:r>
        <w:rPr>
          <w:rFonts w:hint="default"/>
          <w:lang w:eastAsia="zh-CN"/>
        </w:rPr>
        <w:t>（</w:t>
      </w:r>
      <w:r>
        <w:rPr>
          <w:rFonts w:hint="default"/>
          <w:lang w:val="en-US" w:eastAsia="zh-CN"/>
        </w:rPr>
        <w:t>26</w:t>
      </w:r>
      <w:r>
        <w:rPr>
          <w:rFonts w:hint="default"/>
          <w:lang w:eastAsia="zh-CN"/>
        </w:rPr>
        <w:t>）</w:t>
      </w:r>
      <w:r>
        <w:rPr>
          <w:rFonts w:hint="default"/>
        </w:rPr>
        <w:t>《企业突发环境事件风险分级方法》（HJ941-2018)。</w:t>
      </w:r>
    </w:p>
    <w:p>
      <w:pPr>
        <w:pStyle w:val="21"/>
        <w:rPr>
          <w:rFonts w:hint="default"/>
          <w:lang w:val="en-US" w:eastAsia="zh-CN"/>
        </w:rPr>
      </w:pPr>
      <w:bookmarkStart w:id="77" w:name="_Toc4490_WPSOffice_Level2"/>
      <w:bookmarkStart w:id="78" w:name="_Toc18749"/>
      <w:bookmarkStart w:id="79" w:name="_Toc14801"/>
      <w:bookmarkStart w:id="80" w:name="_Toc18775_WPSOffice_Level2"/>
      <w:r>
        <w:rPr>
          <w:rFonts w:hint="default"/>
          <w:lang w:val="en-US" w:eastAsia="zh-CN"/>
        </w:rPr>
        <w:t>1.2.3其他资料</w:t>
      </w:r>
      <w:bookmarkEnd w:id="77"/>
      <w:bookmarkEnd w:id="78"/>
      <w:bookmarkEnd w:id="79"/>
      <w:bookmarkEnd w:id="80"/>
    </w:p>
    <w:p>
      <w:pPr>
        <w:pStyle w:val="14"/>
        <w:numPr>
          <w:ilvl w:val="0"/>
          <w:numId w:val="2"/>
        </w:numPr>
        <w:rPr>
          <w:rFonts w:hint="eastAsia"/>
          <w:lang w:eastAsia="zh-CN"/>
        </w:rPr>
      </w:pPr>
      <w:bookmarkStart w:id="81" w:name="_Toc22863"/>
      <w:bookmarkStart w:id="82" w:name="_Toc25727"/>
      <w:bookmarkStart w:id="83" w:name="_Toc1848"/>
      <w:r>
        <w:rPr>
          <w:rFonts w:hint="eastAsia"/>
          <w:lang w:eastAsia="zh-CN"/>
        </w:rPr>
        <w:t>《江西赣州香港工业园区污水处理厂（一期）》及其批复；</w:t>
      </w:r>
    </w:p>
    <w:p>
      <w:pPr>
        <w:pStyle w:val="14"/>
        <w:rPr>
          <w:rFonts w:hint="eastAsia"/>
          <w:lang w:eastAsia="zh-CN"/>
        </w:rPr>
      </w:pPr>
      <w:bookmarkStart w:id="84" w:name="_Toc384134881"/>
      <w:bookmarkEnd w:id="84"/>
      <w:bookmarkStart w:id="85" w:name="_Toc397674748"/>
      <w:bookmarkEnd w:id="85"/>
      <w:r>
        <w:rPr>
          <w:rFonts w:hint="eastAsia"/>
          <w:lang w:eastAsia="zh-CN"/>
        </w:rPr>
        <w:t>（</w:t>
      </w:r>
      <w:r>
        <w:rPr>
          <w:rFonts w:hint="eastAsia"/>
          <w:lang w:val="en-US" w:eastAsia="zh-CN"/>
        </w:rPr>
        <w:t>2</w:t>
      </w:r>
      <w:r>
        <w:rPr>
          <w:rFonts w:hint="eastAsia"/>
          <w:lang w:eastAsia="zh-CN"/>
        </w:rPr>
        <w:t>）其他资料</w:t>
      </w:r>
    </w:p>
    <w:p>
      <w:pPr>
        <w:pStyle w:val="20"/>
        <w:rPr>
          <w:rFonts w:hint="default"/>
        </w:rPr>
      </w:pPr>
      <w:bookmarkStart w:id="86" w:name="_Toc31630_WPSOffice_Level1"/>
      <w:r>
        <w:rPr>
          <w:rFonts w:hint="eastAsia"/>
          <w:lang w:val="en-US" w:eastAsia="zh-CN"/>
        </w:rPr>
        <w:t>1.3</w:t>
      </w:r>
      <w:r>
        <w:rPr>
          <w:rFonts w:hint="default"/>
        </w:rPr>
        <w:t>适用范围</w:t>
      </w:r>
      <w:bookmarkEnd w:id="81"/>
      <w:bookmarkEnd w:id="82"/>
      <w:bookmarkEnd w:id="83"/>
      <w:bookmarkEnd w:id="86"/>
    </w:p>
    <w:p>
      <w:pPr>
        <w:keepNext w:val="0"/>
        <w:keepLines w:val="0"/>
        <w:widowControl/>
        <w:suppressLineNumbers w:val="0"/>
        <w:jc w:val="left"/>
        <w:rPr>
          <w:rFonts w:hint="default" w:ascii="Times New Roman" w:hAnsi="Times New Roman" w:cs="Times New Roman"/>
          <w:color w:val="auto"/>
          <w:highlight w:val="none"/>
          <w:u w:val="none"/>
        </w:rPr>
      </w:pPr>
      <w:r>
        <w:rPr>
          <w:rFonts w:hint="eastAsia" w:ascii="宋体" w:hAnsi="宋体" w:cs="宋体"/>
          <w:kern w:val="0"/>
          <w:sz w:val="24"/>
          <w:szCs w:val="24"/>
          <w:lang w:val="en-US" w:eastAsia="zh-CN" w:bidi="ar"/>
        </w:rPr>
        <w:t>赣州经开区污水处理厂</w:t>
      </w:r>
      <w:r>
        <w:rPr>
          <w:rFonts w:hint="default" w:ascii="Times New Roman" w:hAnsi="Times New Roman" w:cs="Times New Roman"/>
          <w:color w:val="auto"/>
          <w:highlight w:val="none"/>
          <w:u w:val="none"/>
        </w:rPr>
        <w:t>所需原辅材料由原料供应方负责运输，干化污泥由运输单位负责运输，故本预案不适用于厂外原辅材料运输风险和干化污泥运输风险。</w:t>
      </w:r>
    </w:p>
    <w:p>
      <w:pPr>
        <w:ind w:firstLine="480"/>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当企业变更有关管理机构、生产工艺及相关设施有较大更替或预案编制达到三年年限时，应及时修订本预案。</w:t>
      </w:r>
    </w:p>
    <w:p>
      <w:pPr>
        <w:pStyle w:val="20"/>
        <w:rPr>
          <w:rFonts w:hint="default"/>
        </w:rPr>
      </w:pPr>
      <w:bookmarkStart w:id="87" w:name="_Toc4286"/>
      <w:bookmarkStart w:id="88" w:name="_Toc22447_WPSOffice_Level1"/>
      <w:bookmarkStart w:id="89" w:name="_Toc14253"/>
      <w:bookmarkStart w:id="90" w:name="_Toc26264"/>
      <w:r>
        <w:rPr>
          <w:rFonts w:hint="eastAsia"/>
          <w:lang w:val="en-US" w:eastAsia="zh-CN"/>
        </w:rPr>
        <w:t>1.4</w:t>
      </w:r>
      <w:r>
        <w:rPr>
          <w:rFonts w:hint="default"/>
        </w:rPr>
        <w:t>工作原则</w:t>
      </w:r>
      <w:bookmarkEnd w:id="87"/>
      <w:bookmarkEnd w:id="88"/>
      <w:bookmarkEnd w:id="89"/>
      <w:bookmarkEnd w:id="90"/>
    </w:p>
    <w:p>
      <w:pPr>
        <w:pStyle w:val="14"/>
        <w:rPr>
          <w:rFonts w:hint="default"/>
        </w:rPr>
      </w:pPr>
      <w:bookmarkStart w:id="91" w:name="_Toc29932_WPSOffice_Level2"/>
      <w:bookmarkStart w:id="92" w:name="_Toc27664_WPSOffice_Level2"/>
      <w:r>
        <w:rPr>
          <w:rFonts w:hint="default"/>
        </w:rPr>
        <w:t>1、坚持以人为本，预防为主</w:t>
      </w:r>
      <w:bookmarkEnd w:id="91"/>
      <w:bookmarkEnd w:id="92"/>
    </w:p>
    <w:p>
      <w:pPr>
        <w:pStyle w:val="14"/>
        <w:rPr>
          <w:rFonts w:hint="default"/>
        </w:rPr>
      </w:pPr>
      <w:r>
        <w:rPr>
          <w:rFonts w:hint="default"/>
        </w:rPr>
        <w:t>加强对环境事故风险源的监测、监控并实施监督管理，建立环境事故风险防范体系，积极预防、及时控制、消除隐患，提高突发性环境污染事故防范和处理能力，尽可能地避免或减少突发环境污染事故的发生，消除或减轻环境污染事故造成的中长期影响，最大程度地保障公众健康，保护人民群众生命财产安全。</w:t>
      </w:r>
    </w:p>
    <w:p>
      <w:pPr>
        <w:pStyle w:val="14"/>
        <w:rPr>
          <w:rFonts w:hint="default"/>
        </w:rPr>
      </w:pPr>
      <w:bookmarkStart w:id="93" w:name="_Toc19431_WPSOffice_Level2"/>
      <w:bookmarkStart w:id="94" w:name="_Toc331_WPSOffice_Level2"/>
      <w:r>
        <w:rPr>
          <w:rFonts w:hint="default"/>
        </w:rPr>
        <w:t>2、坚持统一领导，分类管理，分级响应</w:t>
      </w:r>
      <w:bookmarkEnd w:id="93"/>
      <w:bookmarkEnd w:id="94"/>
      <w:r>
        <w:rPr>
          <w:rFonts w:hint="default"/>
        </w:rPr>
        <w:t xml:space="preserve"> </w:t>
      </w:r>
    </w:p>
    <w:p>
      <w:pPr>
        <w:pStyle w:val="14"/>
        <w:rPr>
          <w:rFonts w:hint="default"/>
        </w:rPr>
      </w:pPr>
      <w:r>
        <w:rPr>
          <w:rFonts w:hint="default"/>
        </w:rPr>
        <w:t>接受政府环保部门的指导，使企业的突发性环境污染事故应急系统成为区域系统的有机组成部分。加强企业各部门之间协同与合作，提高快速反应能力。针对不同污染源所造成的环境污染的特点，实行分类管理，充分发挥部门专业优势，使采取的措施与突发环境污染事故造成的危害范围和社会影响相适应。</w:t>
      </w:r>
    </w:p>
    <w:p>
      <w:pPr>
        <w:pStyle w:val="14"/>
        <w:rPr>
          <w:rFonts w:hint="default"/>
        </w:rPr>
      </w:pPr>
      <w:bookmarkStart w:id="95" w:name="_Toc3268_WPSOffice_Level2"/>
      <w:bookmarkStart w:id="96" w:name="_Toc30937_WPSOffice_Level2"/>
      <w:r>
        <w:rPr>
          <w:rFonts w:hint="default"/>
        </w:rPr>
        <w:t>3、坚持平战结合，专兼结合，充分利用现有资源</w:t>
      </w:r>
      <w:bookmarkEnd w:id="95"/>
      <w:bookmarkEnd w:id="96"/>
      <w:r>
        <w:rPr>
          <w:rFonts w:hint="default"/>
        </w:rPr>
        <w:t xml:space="preserve"> </w:t>
      </w:r>
    </w:p>
    <w:p>
      <w:pPr>
        <w:pStyle w:val="14"/>
        <w:rPr>
          <w:rFonts w:hint="default"/>
        </w:rPr>
      </w:pPr>
      <w:r>
        <w:rPr>
          <w:rFonts w:hint="default"/>
        </w:rPr>
        <w:t>积极做好应对突发性环境污染事故的思想准备、物资准备、技术准备、工作准备，加强培训演练，应急系统做到常备不懈，可为本企业和其它企业及社会提供服务，在应急时快速有效。</w:t>
      </w:r>
    </w:p>
    <w:p>
      <w:pPr>
        <w:pStyle w:val="14"/>
        <w:rPr>
          <w:rFonts w:hint="default"/>
        </w:rPr>
      </w:pPr>
      <w:bookmarkStart w:id="97" w:name="_Toc7710_WPSOffice_Level2"/>
      <w:bookmarkStart w:id="98" w:name="_Toc23857_WPSOffice_Level2"/>
      <w:r>
        <w:rPr>
          <w:rFonts w:hint="default"/>
        </w:rPr>
        <w:t>4、依法规范，加强管理</w:t>
      </w:r>
      <w:bookmarkEnd w:id="97"/>
      <w:bookmarkEnd w:id="98"/>
      <w:r>
        <w:rPr>
          <w:rFonts w:hint="default"/>
        </w:rPr>
        <w:t xml:space="preserve"> </w:t>
      </w:r>
    </w:p>
    <w:p>
      <w:pPr>
        <w:pStyle w:val="14"/>
        <w:rPr>
          <w:rFonts w:hint="default"/>
        </w:rPr>
      </w:pPr>
      <w:r>
        <w:rPr>
          <w:rFonts w:hint="default"/>
        </w:rPr>
        <w:t>依据国家法律法规，本着对国家、社会、员工和公众高度负责的态度，加强应急管理，使应急工作规范化、科学化、制度化。</w:t>
      </w:r>
    </w:p>
    <w:p>
      <w:pPr>
        <w:pStyle w:val="14"/>
        <w:rPr>
          <w:rFonts w:hint="default"/>
        </w:rPr>
      </w:pPr>
      <w:bookmarkStart w:id="99" w:name="_Toc13686_WPSOffice_Level2"/>
      <w:bookmarkStart w:id="100" w:name="_Toc17803_WPSOffice_Level2"/>
      <w:r>
        <w:rPr>
          <w:rFonts w:hint="default"/>
        </w:rPr>
        <w:t>5、加强教育，增强素质</w:t>
      </w:r>
      <w:bookmarkEnd w:id="99"/>
      <w:bookmarkEnd w:id="100"/>
    </w:p>
    <w:p>
      <w:pPr>
        <w:pStyle w:val="14"/>
        <w:rPr>
          <w:rFonts w:hint="default"/>
        </w:rPr>
      </w:pPr>
      <w:r>
        <w:rPr>
          <w:rFonts w:hint="default"/>
        </w:rPr>
        <w:t>加强宣传和培训教育工作，提高广大员工自救、互救和应对各类突发环境事件的综合素质。</w:t>
      </w:r>
    </w:p>
    <w:p>
      <w:pPr>
        <w:pStyle w:val="20"/>
        <w:rPr>
          <w:rFonts w:hint="default"/>
          <w:lang w:eastAsia="zh-CN"/>
        </w:rPr>
      </w:pPr>
      <w:bookmarkStart w:id="101" w:name="_Toc30384_WPSOffice_Level1"/>
      <w:bookmarkStart w:id="102" w:name="_Toc32731"/>
      <w:bookmarkStart w:id="103" w:name="_Toc21825"/>
      <w:bookmarkStart w:id="104" w:name="_Toc14371"/>
      <w:r>
        <w:rPr>
          <w:rFonts w:hint="eastAsia"/>
          <w:lang w:val="en-US" w:eastAsia="zh-CN"/>
        </w:rPr>
        <w:t>1.5</w:t>
      </w:r>
      <w:r>
        <w:rPr>
          <w:rFonts w:hint="default"/>
        </w:rPr>
        <w:t>工作程序</w:t>
      </w:r>
      <w:bookmarkEnd w:id="101"/>
      <w:bookmarkEnd w:id="102"/>
      <w:bookmarkEnd w:id="103"/>
      <w:bookmarkEnd w:id="104"/>
    </w:p>
    <w:p>
      <w:pPr>
        <w:pStyle w:val="14"/>
        <w:rPr>
          <w:rFonts w:hint="default"/>
        </w:rPr>
      </w:pPr>
      <w:r>
        <w:rPr>
          <w:rFonts w:hint="default"/>
        </w:rPr>
        <w:t>严格参照相关规定，本预案编制程序见图1.5-1。</w:t>
      </w:r>
    </w:p>
    <w:p>
      <w:pPr>
        <w:ind w:firstLine="480"/>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object>
          <v:shape id="_x0000_i1025" o:spt="75" type="#_x0000_t75" style="height:285pt;width:342pt;" o:ole="t" filled="f" o:preferrelative="t" stroked="f" coordsize="21600,21600">
            <v:path/>
            <v:fill on="f" focussize="0,0"/>
            <v:stroke on="f"/>
            <v:imagedata r:id="rId10" o:title=""/>
            <o:lock v:ext="edit" aspectratio="f"/>
            <w10:wrap type="none"/>
            <w10:anchorlock/>
          </v:shape>
          <o:OLEObject Type="Embed" ProgID="Visio.Drawing.11" ShapeID="_x0000_i1025" DrawAspect="Content" ObjectID="_1468075725" r:id="rId9">
            <o:LockedField>false</o:LockedField>
          </o:OLEObject>
        </w:object>
      </w:r>
    </w:p>
    <w:p>
      <w:pPr>
        <w:pStyle w:val="23"/>
        <w:rPr>
          <w:rFonts w:hint="default"/>
        </w:rPr>
      </w:pPr>
      <w:r>
        <w:rPr>
          <w:rFonts w:hint="default"/>
        </w:rPr>
        <w:t>图1.5-1   环境应急预案编制程序图</w:t>
      </w:r>
    </w:p>
    <w:p>
      <w:pPr>
        <w:pStyle w:val="20"/>
        <w:rPr>
          <w:rFonts w:hint="eastAsia"/>
          <w:lang w:val="en-US" w:eastAsia="zh-CN"/>
        </w:rPr>
      </w:pPr>
      <w:bookmarkStart w:id="105" w:name="_Toc29363_WPSOffice_Level1"/>
      <w:bookmarkStart w:id="106" w:name="_Toc432"/>
      <w:bookmarkStart w:id="107" w:name="_Toc17626"/>
      <w:bookmarkStart w:id="108" w:name="_Toc30777"/>
      <w:r>
        <w:rPr>
          <w:rFonts w:hint="eastAsia"/>
          <w:lang w:val="en-US" w:eastAsia="zh-CN"/>
        </w:rPr>
        <w:t>1.6应急预案关系说明</w:t>
      </w:r>
      <w:bookmarkEnd w:id="105"/>
    </w:p>
    <w:p>
      <w:pPr>
        <w:pStyle w:val="14"/>
        <w:rPr>
          <w:rFonts w:hint="eastAsia"/>
          <w:lang w:val="en-US" w:eastAsia="zh-CN"/>
        </w:rPr>
      </w:pPr>
      <w:r>
        <w:rPr>
          <w:rFonts w:hint="eastAsia"/>
          <w:lang w:val="en-US" w:eastAsia="zh-CN"/>
        </w:rPr>
        <w:t>本厂应急预案为综合应急预案。主要包括总则，企业基本情况，企业周边环境状况及环境保护目标，环境风险源与环境风险评估，现有环境风险防范措施，现有应急能力差距性分析与改进措施，应急指挥机构及职责，应急响应，后期处置，应急保障，奖惩，应急预案培训、演练、评审、发布和修订，及相关附件附图等内容组成。某一事故应急处置措施包含于本预案内。</w:t>
      </w:r>
    </w:p>
    <w:p>
      <w:pPr>
        <w:pStyle w:val="14"/>
        <w:rPr>
          <w:rFonts w:hint="eastAsia"/>
          <w:lang w:val="en-US" w:eastAsia="zh-CN"/>
        </w:rPr>
      </w:pPr>
      <w:r>
        <w:rPr>
          <w:rFonts w:hint="eastAsia"/>
          <w:lang w:val="en-US" w:eastAsia="zh-CN"/>
        </w:rPr>
        <w:t>企业应做好与生产安全事故应急预案的衔接。环境突发事件应急预案主要为控制并减轻污染，消除污染。生产安全事故可能引起次生环境风险事件，在此情况下，环境风险应急预案与生产安全事故应急预案需要相互支持，相互合作。</w:t>
      </w:r>
    </w:p>
    <w:p>
      <w:pPr>
        <w:pStyle w:val="14"/>
        <w:rPr>
          <w:rFonts w:hint="eastAsia"/>
          <w:lang w:val="en-US" w:eastAsia="zh-CN"/>
        </w:rPr>
      </w:pPr>
      <w:r>
        <w:rPr>
          <w:rFonts w:hint="eastAsia"/>
          <w:lang w:val="en-US" w:eastAsia="zh-CN"/>
        </w:rPr>
        <w:t>本预案与《赣州市突发环境事件应急预案》实施联动，我厂需要外部救援时，请求外部环境应急预案同时启动。</w:t>
      </w:r>
    </w:p>
    <w:p>
      <w:pPr>
        <w:pStyle w:val="14"/>
        <w:rPr>
          <w:rFonts w:hint="eastAsia"/>
          <w:lang w:val="en-US" w:eastAsia="zh-CN"/>
        </w:rPr>
      </w:pPr>
      <w:r>
        <w:rPr>
          <w:rFonts w:hint="eastAsia"/>
          <w:lang w:val="en-US" w:eastAsia="zh-CN"/>
        </w:rPr>
        <w:t>当突发环境事件超出我厂应急处置能力、超出我厂范围，我厂应急指挥中心立即上报赣州市经开区环保局、赣州市经开区安监局应急机构；根据突发环境事件严重程度，由相关部门决定启动相关预案、并采取相应的措施。</w:t>
      </w:r>
    </w:p>
    <w:p>
      <w:pPr>
        <w:pStyle w:val="14"/>
        <w:rPr>
          <w:rFonts w:hint="eastAsia"/>
          <w:lang w:val="en-US" w:eastAsia="zh-CN"/>
        </w:rPr>
      </w:pPr>
      <w:r>
        <w:rPr>
          <w:rFonts w:hint="eastAsia"/>
          <w:lang w:val="en-US" w:eastAsia="zh-CN"/>
        </w:rPr>
        <w:t>当政府成立现场应急指挥部时，立即移交应急指挥权并介绍事故情况和已采取的应急措施，配合协助应急指挥与处置。我厂突发环境应急预案与外部环境应急预案之间的衔接关系见图 1.6.1。</w:t>
      </w:r>
    </w:p>
    <w:p>
      <w:pPr>
        <w:pStyle w:val="14"/>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object>
          <v:shape id="_x0000_i1030" o:spt="75" type="#_x0000_t75" style="height:203.25pt;width:322.5pt;" o:ole="t" filled="f" o:preferrelative="t" stroked="f" coordsize="21600,21600">
            <v:path/>
            <v:fill on="f" focussize="0,0"/>
            <v:stroke on="f"/>
            <v:imagedata r:id="rId12" o:title=""/>
            <o:lock v:ext="edit" aspectratio="f"/>
            <w10:wrap type="none"/>
            <w10:anchorlock/>
          </v:shape>
          <o:OLEObject Type="Embed" ProgID="Visio.Drawing.11" ShapeID="_x0000_i1030" DrawAspect="Content" ObjectID="_1468075726" r:id="rId11">
            <o:LockedField>false</o:LockedField>
          </o:OLEObject>
        </w:object>
      </w:r>
    </w:p>
    <w:p>
      <w:pPr>
        <w:pStyle w:val="23"/>
        <w:rPr>
          <w:rFonts w:hint="eastAsia"/>
          <w:lang w:val="en-US" w:eastAsia="zh-CN"/>
        </w:rPr>
      </w:pPr>
      <w:r>
        <w:rPr>
          <w:rFonts w:hint="eastAsia"/>
          <w:lang w:val="en-US" w:eastAsia="zh-CN"/>
        </w:rPr>
        <w:t>图1.6.1  应急预案关系说明图</w:t>
      </w:r>
    </w:p>
    <w:p>
      <w:pPr>
        <w:pStyle w:val="20"/>
        <w:rPr>
          <w:rFonts w:hint="default"/>
          <w:lang w:eastAsia="zh-CN"/>
        </w:rPr>
      </w:pPr>
      <w:bookmarkStart w:id="109" w:name="_Toc23047_WPSOffice_Level1"/>
      <w:r>
        <w:rPr>
          <w:rFonts w:hint="eastAsia"/>
          <w:lang w:val="en-US" w:eastAsia="zh-CN"/>
        </w:rPr>
        <w:t>1.7</w:t>
      </w:r>
      <w:r>
        <w:rPr>
          <w:rFonts w:hint="default"/>
          <w:lang w:eastAsia="zh-CN"/>
        </w:rPr>
        <w:t>编制内容</w:t>
      </w:r>
      <w:bookmarkEnd w:id="106"/>
      <w:bookmarkEnd w:id="107"/>
      <w:bookmarkEnd w:id="108"/>
      <w:bookmarkEnd w:id="109"/>
    </w:p>
    <w:p>
      <w:pPr>
        <w:pStyle w:val="14"/>
        <w:rPr>
          <w:rFonts w:hint="default"/>
        </w:rPr>
      </w:pPr>
      <w:r>
        <w:rPr>
          <w:rFonts w:hint="default"/>
        </w:rPr>
        <w:t>本预案的编制内容共分为13个部分，即：总则、企业概况与周围环境概况、环境风险识别与情景分析、企业环境风险等级、企业现有环境风险防控和应急措施差距分析、应急组织机构与职责、预防和预警机制、应急响应和措施、安全防护、后期处置、应急保障、预案管理、附则以及附图附件。</w:t>
      </w:r>
    </w:p>
    <w:p>
      <w:pPr>
        <w:pStyle w:val="14"/>
        <w:rPr>
          <w:rFonts w:hint="default"/>
          <w:lang w:val="en-US" w:eastAsia="zh-CN"/>
        </w:rPr>
      </w:pPr>
      <w:r>
        <w:rPr>
          <w:rFonts w:hint="default"/>
          <w:lang w:val="en-US" w:eastAsia="zh-CN"/>
        </w:rPr>
        <w:t>根据</w:t>
      </w:r>
      <w:r>
        <w:rPr>
          <w:rFonts w:hint="eastAsia"/>
          <w:lang w:val="en-US" w:eastAsia="zh-CN"/>
        </w:rPr>
        <w:t>赣州经开区</w:t>
      </w:r>
      <w:r>
        <w:rPr>
          <w:rFonts w:hint="default"/>
          <w:lang w:val="en-US" w:eastAsia="zh-CN"/>
        </w:rPr>
        <w:t>污水处理厂的实际情况，按照严重性和紧急程度将</w:t>
      </w:r>
      <w:r>
        <w:rPr>
          <w:rFonts w:hint="eastAsia"/>
          <w:lang w:val="en-US" w:eastAsia="zh-CN"/>
        </w:rPr>
        <w:t>污水处理厂</w:t>
      </w:r>
      <w:r>
        <w:rPr>
          <w:rFonts w:hint="default"/>
          <w:lang w:val="en-US" w:eastAsia="zh-CN"/>
        </w:rPr>
        <w:t>突发环境事件分为三级，分别为流域级（I 级）、</w:t>
      </w:r>
      <w:r>
        <w:rPr>
          <w:rFonts w:hint="eastAsia"/>
          <w:lang w:val="en-US" w:eastAsia="zh-CN"/>
        </w:rPr>
        <w:t>厂</w:t>
      </w:r>
      <w:r>
        <w:rPr>
          <w:rFonts w:hint="default"/>
          <w:lang w:val="en-US" w:eastAsia="zh-CN"/>
        </w:rPr>
        <w:t>级（II 级）和车间级（III 级）。具体事件分级与应急响应分级见下表。</w:t>
      </w:r>
    </w:p>
    <w:p>
      <w:pPr>
        <w:pStyle w:val="16"/>
        <w:rPr>
          <w:rFonts w:hint="default"/>
          <w:lang w:val="en-US" w:eastAsia="zh-CN"/>
        </w:rPr>
      </w:pPr>
      <w:r>
        <w:rPr>
          <w:rFonts w:hint="default"/>
          <w:lang w:val="en-US" w:eastAsia="zh-CN"/>
        </w:rPr>
        <w:t>表1.</w:t>
      </w:r>
      <w:r>
        <w:rPr>
          <w:rFonts w:hint="eastAsia"/>
          <w:lang w:val="en-US" w:eastAsia="zh-CN"/>
        </w:rPr>
        <w:t>7</w:t>
      </w:r>
      <w:r>
        <w:rPr>
          <w:rFonts w:hint="default"/>
          <w:lang w:val="en-US" w:eastAsia="zh-CN"/>
        </w:rPr>
        <w:t xml:space="preserve">-1  </w:t>
      </w:r>
      <w:r>
        <w:rPr>
          <w:rFonts w:hint="eastAsia"/>
          <w:lang w:val="en-US" w:eastAsia="zh-CN"/>
        </w:rPr>
        <w:t>赣州市经开区</w:t>
      </w:r>
      <w:r>
        <w:rPr>
          <w:rFonts w:hint="default"/>
          <w:lang w:val="en-US" w:eastAsia="zh-CN"/>
        </w:rPr>
        <w:t>污水厂突发环境事件应急响应级别</w:t>
      </w:r>
    </w:p>
    <w:tbl>
      <w:tblPr>
        <w:tblStyle w:val="11"/>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1350"/>
        <w:gridCol w:w="600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66" w:type="dxa"/>
            <w:tcBorders>
              <w:tl2br w:val="nil"/>
              <w:tr2bl w:val="nil"/>
            </w:tcBorders>
            <w:vAlign w:val="center"/>
          </w:tcPr>
          <w:p>
            <w:pPr>
              <w:pStyle w:val="18"/>
              <w:rPr>
                <w:rFonts w:hint="default"/>
                <w:lang w:val="en-US" w:eastAsia="zh-CN"/>
              </w:rPr>
            </w:pPr>
            <w:r>
              <w:rPr>
                <w:rFonts w:hint="default"/>
              </w:rPr>
              <w:t>事件分级</w:t>
            </w:r>
          </w:p>
        </w:tc>
        <w:tc>
          <w:tcPr>
            <w:tcW w:w="1350" w:type="dxa"/>
            <w:tcBorders>
              <w:tl2br w:val="nil"/>
              <w:tr2bl w:val="nil"/>
            </w:tcBorders>
            <w:vAlign w:val="center"/>
          </w:tcPr>
          <w:p>
            <w:pPr>
              <w:pStyle w:val="18"/>
              <w:rPr>
                <w:rFonts w:hint="default"/>
                <w:lang w:val="en-US" w:eastAsia="zh-CN"/>
              </w:rPr>
            </w:pPr>
            <w:r>
              <w:rPr>
                <w:rFonts w:hint="default"/>
              </w:rPr>
              <w:t>响应分级</w:t>
            </w:r>
          </w:p>
        </w:tc>
        <w:tc>
          <w:tcPr>
            <w:tcW w:w="6006" w:type="dxa"/>
            <w:tcBorders>
              <w:tl2br w:val="nil"/>
              <w:tr2bl w:val="nil"/>
            </w:tcBorders>
            <w:vAlign w:val="center"/>
          </w:tcPr>
          <w:p>
            <w:pPr>
              <w:pStyle w:val="18"/>
              <w:rPr>
                <w:rFonts w:hint="default"/>
                <w:lang w:val="en-US" w:eastAsia="zh-CN"/>
              </w:rPr>
            </w:pPr>
            <w:r>
              <w:rPr>
                <w:rFonts w:hint="default"/>
              </w:rPr>
              <w:t>事故危害程度及影响范围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66" w:type="dxa"/>
            <w:tcBorders>
              <w:tl2br w:val="nil"/>
              <w:tr2bl w:val="nil"/>
            </w:tcBorders>
            <w:vAlign w:val="center"/>
          </w:tcPr>
          <w:p>
            <w:pPr>
              <w:pStyle w:val="18"/>
              <w:rPr>
                <w:rFonts w:hint="default"/>
              </w:rPr>
            </w:pPr>
            <w:r>
              <w:rPr>
                <w:rFonts w:hint="default"/>
              </w:rPr>
              <w:t>流域级</w:t>
            </w:r>
          </w:p>
          <w:p>
            <w:pPr>
              <w:pStyle w:val="18"/>
              <w:rPr>
                <w:rFonts w:hint="default"/>
                <w:lang w:val="en-US" w:eastAsia="zh-CN"/>
              </w:rPr>
            </w:pPr>
            <w:r>
              <w:rPr>
                <w:rFonts w:hint="default"/>
              </w:rPr>
              <w:t>（I级）</w:t>
            </w:r>
          </w:p>
        </w:tc>
        <w:tc>
          <w:tcPr>
            <w:tcW w:w="1350" w:type="dxa"/>
            <w:tcBorders>
              <w:tl2br w:val="nil"/>
              <w:tr2bl w:val="nil"/>
            </w:tcBorders>
            <w:vAlign w:val="center"/>
          </w:tcPr>
          <w:p>
            <w:pPr>
              <w:pStyle w:val="18"/>
              <w:rPr>
                <w:rFonts w:hint="default"/>
                <w:lang w:val="en-US" w:eastAsia="zh-CN"/>
              </w:rPr>
            </w:pPr>
            <w:r>
              <w:rPr>
                <w:rFonts w:hint="default"/>
              </w:rPr>
              <w:t>I级响应</w:t>
            </w:r>
          </w:p>
        </w:tc>
        <w:tc>
          <w:tcPr>
            <w:tcW w:w="6006" w:type="dxa"/>
            <w:tcBorders>
              <w:tl2br w:val="nil"/>
              <w:tr2bl w:val="nil"/>
            </w:tcBorders>
            <w:vAlign w:val="center"/>
          </w:tcPr>
          <w:p>
            <w:pPr>
              <w:pStyle w:val="18"/>
              <w:rPr>
                <w:rFonts w:hint="default"/>
                <w:lang w:val="en-US" w:eastAsia="zh-CN"/>
              </w:rPr>
            </w:pPr>
            <w:r>
              <w:rPr>
                <w:rFonts w:hint="default"/>
              </w:rPr>
              <w:t>事件范围大，难以控制，如超出了厂区所辖场所，使临近单位受到影响；或者产生连锁反应，次生出其他危害事件；或危害严重，对生命和财产构成极端威胁，可能需要大范围撤离；或需要外部力量进行支持的事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66" w:type="dxa"/>
            <w:tcBorders>
              <w:tl2br w:val="nil"/>
              <w:tr2bl w:val="nil"/>
            </w:tcBorders>
            <w:vAlign w:val="center"/>
          </w:tcPr>
          <w:p>
            <w:pPr>
              <w:pStyle w:val="18"/>
              <w:rPr>
                <w:rFonts w:hint="default"/>
                <w:lang w:val="en-US" w:eastAsia="zh-CN"/>
              </w:rPr>
            </w:pPr>
            <w:r>
              <w:rPr>
                <w:rFonts w:hint="eastAsia"/>
                <w:lang w:eastAsia="zh-CN"/>
              </w:rPr>
              <w:t>厂</w:t>
            </w:r>
            <w:r>
              <w:rPr>
                <w:rFonts w:hint="default"/>
              </w:rPr>
              <w:t>级（II级）</w:t>
            </w:r>
          </w:p>
        </w:tc>
        <w:tc>
          <w:tcPr>
            <w:tcW w:w="1350" w:type="dxa"/>
            <w:tcBorders>
              <w:tl2br w:val="nil"/>
              <w:tr2bl w:val="nil"/>
            </w:tcBorders>
            <w:vAlign w:val="center"/>
          </w:tcPr>
          <w:p>
            <w:pPr>
              <w:pStyle w:val="18"/>
              <w:rPr>
                <w:rFonts w:hint="default"/>
                <w:lang w:val="en-US" w:eastAsia="zh-CN"/>
              </w:rPr>
            </w:pPr>
            <w:r>
              <w:rPr>
                <w:rFonts w:hint="default"/>
              </w:rPr>
              <w:t>II级响应</w:t>
            </w:r>
          </w:p>
        </w:tc>
        <w:tc>
          <w:tcPr>
            <w:tcW w:w="6006" w:type="dxa"/>
            <w:tcBorders>
              <w:tl2br w:val="nil"/>
              <w:tr2bl w:val="nil"/>
            </w:tcBorders>
            <w:vAlign w:val="center"/>
          </w:tcPr>
          <w:p>
            <w:pPr>
              <w:pStyle w:val="18"/>
              <w:rPr>
                <w:rFonts w:hint="default"/>
                <w:lang w:val="en-US" w:eastAsia="zh-CN"/>
              </w:rPr>
            </w:pPr>
            <w:r>
              <w:rPr>
                <w:rFonts w:hint="default"/>
              </w:rPr>
              <w:t>事件范围较大，事件控制在</w:t>
            </w:r>
            <w:r>
              <w:rPr>
                <w:rFonts w:hint="eastAsia"/>
                <w:lang w:eastAsia="zh-CN"/>
              </w:rPr>
              <w:t>污水处理厂</w:t>
            </w:r>
            <w:r>
              <w:rPr>
                <w:rFonts w:hint="default"/>
              </w:rPr>
              <w:t>内部区域或只有有限的扩散范围，影响到相邻的生产设施；或较大威胁的事件，该事件对生命和财产构成潜在威胁，</w:t>
            </w:r>
            <w:r>
              <w:rPr>
                <w:rFonts w:hint="eastAsia"/>
                <w:lang w:eastAsia="zh-CN"/>
              </w:rPr>
              <w:t>污水处理厂</w:t>
            </w:r>
            <w:r>
              <w:rPr>
                <w:rFonts w:hint="default"/>
              </w:rPr>
              <w:t>工作人员需要有限撤离。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66" w:type="dxa"/>
            <w:tcBorders>
              <w:tl2br w:val="nil"/>
              <w:tr2bl w:val="nil"/>
            </w:tcBorders>
            <w:vAlign w:val="center"/>
          </w:tcPr>
          <w:p>
            <w:pPr>
              <w:pStyle w:val="18"/>
              <w:rPr>
                <w:rFonts w:hint="default"/>
                <w:lang w:val="en-US" w:eastAsia="zh-CN"/>
              </w:rPr>
            </w:pPr>
            <w:r>
              <w:rPr>
                <w:rFonts w:hint="default"/>
              </w:rPr>
              <w:t>车间级（III级）</w:t>
            </w:r>
          </w:p>
        </w:tc>
        <w:tc>
          <w:tcPr>
            <w:tcW w:w="1350" w:type="dxa"/>
            <w:tcBorders>
              <w:tl2br w:val="nil"/>
              <w:tr2bl w:val="nil"/>
            </w:tcBorders>
            <w:vAlign w:val="center"/>
          </w:tcPr>
          <w:p>
            <w:pPr>
              <w:pStyle w:val="18"/>
              <w:rPr>
                <w:rFonts w:hint="default"/>
                <w:lang w:val="en-US" w:eastAsia="zh-CN"/>
              </w:rPr>
            </w:pPr>
            <w:r>
              <w:rPr>
                <w:rFonts w:hint="default"/>
              </w:rPr>
              <w:t>III级响应</w:t>
            </w:r>
          </w:p>
        </w:tc>
        <w:tc>
          <w:tcPr>
            <w:tcW w:w="6006" w:type="dxa"/>
            <w:tcBorders>
              <w:tl2br w:val="nil"/>
              <w:tr2bl w:val="nil"/>
            </w:tcBorders>
            <w:vAlign w:val="center"/>
          </w:tcPr>
          <w:p>
            <w:pPr>
              <w:pStyle w:val="18"/>
              <w:rPr>
                <w:rFonts w:hint="default"/>
                <w:lang w:val="en-US" w:eastAsia="zh-CN"/>
              </w:rPr>
            </w:pPr>
            <w:r>
              <w:rPr>
                <w:rFonts w:hint="default"/>
              </w:rPr>
              <w:t>事件范围较小，可以被第一发现人或所在部门力量控制，一般不需要外部援助。除所涉及到的设施及其邻近设施的人员外，不需要撤离其他人员。事件能控制在事发区域内。</w:t>
            </w:r>
          </w:p>
        </w:tc>
      </w:tr>
    </w:tbl>
    <w:p>
      <w:pPr>
        <w:pStyle w:val="20"/>
        <w:rPr>
          <w:rFonts w:hint="default"/>
          <w:lang w:eastAsia="zh-CN"/>
        </w:rPr>
      </w:pPr>
      <w:bookmarkStart w:id="110" w:name="_Toc7848_WPSOffice_Level1"/>
      <w:bookmarkStart w:id="111" w:name="_Toc22893"/>
      <w:bookmarkStart w:id="112" w:name="_Toc11920"/>
      <w:bookmarkStart w:id="113" w:name="_Toc23934"/>
      <w:r>
        <w:rPr>
          <w:rFonts w:hint="eastAsia"/>
          <w:lang w:val="en-US" w:eastAsia="zh-CN"/>
        </w:rPr>
        <w:t>1.8</w:t>
      </w:r>
      <w:r>
        <w:rPr>
          <w:rFonts w:hint="default"/>
          <w:lang w:eastAsia="zh-CN"/>
        </w:rPr>
        <w:t>预案衔接</w:t>
      </w:r>
      <w:bookmarkEnd w:id="110"/>
      <w:bookmarkEnd w:id="111"/>
      <w:bookmarkEnd w:id="112"/>
      <w:bookmarkEnd w:id="113"/>
    </w:p>
    <w:p>
      <w:pPr>
        <w:pStyle w:val="14"/>
        <w:rPr>
          <w:rFonts w:hint="default"/>
        </w:rPr>
      </w:pPr>
      <w:r>
        <w:rPr>
          <w:rFonts w:hint="default"/>
        </w:rPr>
        <w:t>本预案要加强与</w:t>
      </w:r>
      <w:r>
        <w:rPr>
          <w:rFonts w:hint="eastAsia"/>
          <w:lang w:val="en-US" w:eastAsia="zh-CN"/>
        </w:rPr>
        <w:t>赣州市</w:t>
      </w:r>
      <w:r>
        <w:rPr>
          <w:rFonts w:hint="default"/>
        </w:rPr>
        <w:t>政府和环保局、</w:t>
      </w:r>
      <w:r>
        <w:rPr>
          <w:rFonts w:hint="eastAsia"/>
          <w:lang w:val="en-US" w:eastAsia="zh-CN"/>
        </w:rPr>
        <w:t>赣州市开发区</w:t>
      </w:r>
      <w:r>
        <w:rPr>
          <w:rFonts w:hint="default"/>
        </w:rPr>
        <w:t>环保局相关的联系、沟通和合作，突发环境事件状况下积极配合环保部门及有关部门的工作。</w:t>
      </w:r>
    </w:p>
    <w:p>
      <w:pPr>
        <w:pStyle w:val="14"/>
        <w:rPr>
          <w:rFonts w:hint="default"/>
        </w:rPr>
      </w:pPr>
      <w:bookmarkStart w:id="114" w:name="_Toc1930_WPSOffice_Level2"/>
      <w:bookmarkStart w:id="115" w:name="_Toc6443_WPSOffice_Level2"/>
      <w:r>
        <w:rPr>
          <w:rFonts w:hint="default"/>
        </w:rPr>
        <w:t>1、应急组织机构、人员的衔接</w:t>
      </w:r>
      <w:bookmarkEnd w:id="114"/>
      <w:bookmarkEnd w:id="115"/>
    </w:p>
    <w:p>
      <w:pPr>
        <w:pStyle w:val="14"/>
        <w:rPr>
          <w:rFonts w:hint="default"/>
        </w:rPr>
      </w:pPr>
      <w:r>
        <w:rPr>
          <w:rFonts w:hint="default"/>
          <w:lang w:val="zh-CN"/>
        </w:rPr>
        <w:t>当发生突发环境事件时，</w:t>
      </w:r>
      <w:r>
        <w:rPr>
          <w:rFonts w:hint="eastAsia"/>
          <w:lang w:val="en-US" w:eastAsia="zh-CN"/>
        </w:rPr>
        <w:t>赣州经开区污水处理厂</w:t>
      </w:r>
      <w:r>
        <w:rPr>
          <w:rFonts w:hint="default"/>
        </w:rPr>
        <w:t>应急领导小组应及时承担起与当地区域或各职能管理部门的应急指挥机构的联系工作，及时将事件发生情况及最新进展向有关部门汇报；编制突发环境事件报告单，并将报告单上报上级部门。</w:t>
      </w:r>
    </w:p>
    <w:p>
      <w:pPr>
        <w:pStyle w:val="14"/>
        <w:rPr>
          <w:rFonts w:hint="default"/>
          <w:lang w:val="zh-CN"/>
        </w:rPr>
      </w:pPr>
      <w:bookmarkStart w:id="116" w:name="_Toc30873_WPSOffice_Level2"/>
      <w:bookmarkStart w:id="117" w:name="_Toc29506_WPSOffice_Level2"/>
      <w:r>
        <w:rPr>
          <w:rFonts w:hint="default"/>
          <w:lang w:val="zh-CN"/>
        </w:rPr>
        <w:t>2、预案分级响应的衔接</w:t>
      </w:r>
      <w:bookmarkEnd w:id="116"/>
      <w:bookmarkEnd w:id="117"/>
    </w:p>
    <w:p>
      <w:pPr>
        <w:pStyle w:val="14"/>
        <w:rPr>
          <w:rFonts w:hint="default"/>
          <w:lang w:val="zh-CN"/>
        </w:rPr>
      </w:pPr>
      <w:r>
        <w:rPr>
          <w:rFonts w:hint="default"/>
          <w:lang w:val="zh-CN"/>
        </w:rPr>
        <w:t>（1）一般污染事故：在污染事故现场处置妥当后，经应急指挥小组研究确定后，向</w:t>
      </w:r>
      <w:r>
        <w:rPr>
          <w:rFonts w:hint="eastAsia"/>
          <w:lang w:val="en-US" w:eastAsia="zh-CN"/>
        </w:rPr>
        <w:t>共赣州市开发区</w:t>
      </w:r>
      <w:r>
        <w:rPr>
          <w:rFonts w:hint="default"/>
          <w:lang w:val="zh-CN"/>
        </w:rPr>
        <w:t>环保局报告处理结果。</w:t>
      </w:r>
    </w:p>
    <w:p>
      <w:pPr>
        <w:pStyle w:val="14"/>
        <w:rPr>
          <w:rFonts w:hint="default"/>
        </w:rPr>
      </w:pPr>
      <w:r>
        <w:rPr>
          <w:rFonts w:hint="default"/>
          <w:lang w:val="zh-CN"/>
        </w:rPr>
        <w:t>（2）较大或重大污染事故：</w:t>
      </w:r>
      <w:r>
        <w:rPr>
          <w:rFonts w:hint="default"/>
        </w:rPr>
        <w:t>应急领导小组在接到事故报警后，及时向</w:t>
      </w:r>
      <w:r>
        <w:rPr>
          <w:rFonts w:hint="eastAsia"/>
          <w:lang w:val="en-US" w:eastAsia="zh-CN"/>
        </w:rPr>
        <w:t>赣州市</w:t>
      </w:r>
      <w:r>
        <w:rPr>
          <w:rFonts w:hint="default"/>
        </w:rPr>
        <w:t>环境应急指挥部</w:t>
      </w:r>
      <w:r>
        <w:rPr>
          <w:rFonts w:hint="eastAsia"/>
          <w:lang w:eastAsia="zh-CN"/>
        </w:rPr>
        <w:t>汇报</w:t>
      </w:r>
      <w:r>
        <w:rPr>
          <w:rFonts w:hint="default"/>
        </w:rPr>
        <w:t>，并请求支援；</w:t>
      </w:r>
      <w:r>
        <w:rPr>
          <w:rFonts w:hint="eastAsia"/>
          <w:lang w:val="en-US" w:eastAsia="zh-CN"/>
        </w:rPr>
        <w:t>赣州市</w:t>
      </w:r>
      <w:r>
        <w:rPr>
          <w:rFonts w:hint="default"/>
        </w:rPr>
        <w:t>环境应急指挥部进行紧急动员，适时启动区域的突发环境事件应急预案</w:t>
      </w:r>
      <w:r>
        <w:rPr>
          <w:rFonts w:hint="eastAsia"/>
          <w:lang w:eastAsia="zh-CN"/>
        </w:rPr>
        <w:t>，</w:t>
      </w:r>
      <w:r>
        <w:rPr>
          <w:rFonts w:hint="default"/>
        </w:rPr>
        <w:t>迅速调集救援力量，指挥各成员单位、相关职能部门，根据应急预案组成各个应急行动小组，按照各自的职责和现场救援具体方案开展抢险救援工作，</w:t>
      </w:r>
      <w:r>
        <w:rPr>
          <w:rFonts w:hint="eastAsia"/>
          <w:lang w:val="en-US" w:eastAsia="zh-CN"/>
        </w:rPr>
        <w:t>赣州市经开区</w:t>
      </w:r>
      <w:r>
        <w:rPr>
          <w:rFonts w:hint="default"/>
          <w:lang w:val="zh-CN"/>
        </w:rPr>
        <w:t>污水厂</w:t>
      </w:r>
      <w:r>
        <w:rPr>
          <w:rFonts w:hint="default"/>
        </w:rPr>
        <w:t>听从</w:t>
      </w:r>
      <w:r>
        <w:rPr>
          <w:rFonts w:hint="eastAsia"/>
          <w:lang w:val="en-US" w:eastAsia="zh-CN"/>
        </w:rPr>
        <w:t>赣州市</w:t>
      </w:r>
      <w:r>
        <w:rPr>
          <w:rFonts w:hint="default"/>
        </w:rPr>
        <w:t>现场指挥部的领导指挥。突发环境事件基本控制稳定后，应急指挥中心将根据专家意见，迅速调集后援力量展开事故处置工作。</w:t>
      </w:r>
    </w:p>
    <w:p>
      <w:pPr>
        <w:pStyle w:val="14"/>
        <w:rPr>
          <w:rFonts w:hint="default"/>
          <w:lang w:val="zh-CN"/>
        </w:rPr>
      </w:pPr>
      <w:r>
        <w:rPr>
          <w:rFonts w:hint="default"/>
          <w:lang w:val="zh-CN"/>
        </w:rPr>
        <w:t>（3）应急救援保障的衔接</w:t>
      </w:r>
    </w:p>
    <w:p>
      <w:pPr>
        <w:pStyle w:val="14"/>
        <w:rPr>
          <w:rFonts w:hint="default"/>
        </w:rPr>
      </w:pPr>
      <w:r>
        <w:rPr>
          <w:rFonts w:hint="default"/>
        </w:rPr>
        <w:t>①企业自身保障：企业拥有完善的应急保障体系，包括队伍保障、医疗保障、物资保障、人员防护、财力保障、通信保障、技术保证等。</w:t>
      </w:r>
    </w:p>
    <w:p>
      <w:pPr>
        <w:pStyle w:val="14"/>
        <w:rPr>
          <w:rFonts w:hint="default"/>
        </w:rPr>
      </w:pPr>
      <w:r>
        <w:rPr>
          <w:rFonts w:hint="default"/>
        </w:rPr>
        <w:t>②单位互助体系：建设单位和周边企业建立良好的应急互助关系，在重大事故发生后，相互支援。</w:t>
      </w:r>
    </w:p>
    <w:p>
      <w:pPr>
        <w:pStyle w:val="14"/>
        <w:rPr>
          <w:rFonts w:hint="default"/>
        </w:rPr>
      </w:pPr>
      <w:r>
        <w:rPr>
          <w:rFonts w:hint="default"/>
        </w:rPr>
        <w:t>③公共援助力量：</w:t>
      </w:r>
      <w:r>
        <w:rPr>
          <w:rFonts w:hint="default"/>
          <w:lang w:val="en-US" w:eastAsia="zh-CN"/>
        </w:rPr>
        <w:t>在进行第二点的</w:t>
      </w:r>
      <w:r>
        <w:rPr>
          <w:rFonts w:hint="eastAsia"/>
          <w:lang w:val="en-US" w:eastAsia="zh-CN"/>
        </w:rPr>
        <w:t>同时</w:t>
      </w:r>
      <w:r>
        <w:rPr>
          <w:rFonts w:hint="default"/>
          <w:lang w:val="en-US" w:eastAsia="zh-CN"/>
        </w:rPr>
        <w:t>，</w:t>
      </w:r>
      <w:r>
        <w:rPr>
          <w:rFonts w:hint="default"/>
        </w:rPr>
        <w:t>厂区还可以</w:t>
      </w:r>
      <w:r>
        <w:rPr>
          <w:rFonts w:hint="default"/>
          <w:lang w:val="en-US" w:eastAsia="zh-CN"/>
        </w:rPr>
        <w:t>通过</w:t>
      </w:r>
      <w:r>
        <w:rPr>
          <w:rFonts w:hint="eastAsia"/>
          <w:lang w:val="en-US" w:eastAsia="zh-CN"/>
        </w:rPr>
        <w:t>联网的</w:t>
      </w:r>
      <w:r>
        <w:rPr>
          <w:rFonts w:hint="default"/>
          <w:lang w:val="en-US" w:eastAsia="zh-CN"/>
        </w:rPr>
        <w:t>方式</w:t>
      </w:r>
      <w:r>
        <w:rPr>
          <w:rFonts w:hint="eastAsia"/>
          <w:lang w:val="en-US" w:eastAsia="zh-CN"/>
        </w:rPr>
        <w:t>及时赣</w:t>
      </w:r>
      <w:r>
        <w:rPr>
          <w:rFonts w:hint="default"/>
        </w:rPr>
        <w:t>联系</w:t>
      </w:r>
      <w:r>
        <w:rPr>
          <w:rFonts w:hint="eastAsia"/>
          <w:lang w:val="en-US" w:eastAsia="zh-CN"/>
        </w:rPr>
        <w:t>州市</w:t>
      </w:r>
      <w:r>
        <w:rPr>
          <w:rFonts w:hint="default"/>
        </w:rPr>
        <w:t>政府、</w:t>
      </w:r>
      <w:r>
        <w:rPr>
          <w:rFonts w:hint="eastAsia"/>
          <w:lang w:val="en-US" w:eastAsia="zh-CN"/>
        </w:rPr>
        <w:t>赣州市</w:t>
      </w:r>
      <w:r>
        <w:rPr>
          <w:rFonts w:hint="default"/>
        </w:rPr>
        <w:t>消防大队、</w:t>
      </w:r>
      <w:r>
        <w:rPr>
          <w:rFonts w:hint="eastAsia"/>
          <w:lang w:val="en-US" w:eastAsia="zh-CN"/>
        </w:rPr>
        <w:t>赣州市</w:t>
      </w:r>
      <w:r>
        <w:rPr>
          <w:rFonts w:hint="default"/>
        </w:rPr>
        <w:t>环保局、</w:t>
      </w:r>
      <w:r>
        <w:rPr>
          <w:rFonts w:hint="eastAsia"/>
          <w:lang w:val="en-US" w:eastAsia="zh-CN"/>
        </w:rPr>
        <w:t>赣州市</w:t>
      </w:r>
      <w:r>
        <w:rPr>
          <w:rFonts w:hint="default"/>
        </w:rPr>
        <w:t>安监局等各相关职能部门，请求</w:t>
      </w:r>
      <w:r>
        <w:rPr>
          <w:rFonts w:hint="eastAsia"/>
          <w:lang w:eastAsia="zh-CN"/>
        </w:rPr>
        <w:t>外部</w:t>
      </w:r>
      <w:r>
        <w:rPr>
          <w:rFonts w:hint="default"/>
        </w:rPr>
        <w:t>救援力量的支持。</w:t>
      </w:r>
    </w:p>
    <w:p>
      <w:pPr>
        <w:pStyle w:val="14"/>
        <w:rPr>
          <w:rFonts w:hint="default"/>
        </w:rPr>
      </w:pPr>
      <w:r>
        <w:rPr>
          <w:rFonts w:hint="default"/>
        </w:rPr>
        <w:t>④专家援助：企业建立风险事故救援安全专家库，在紧急情况下，可以联系获取救援支持。</w:t>
      </w:r>
    </w:p>
    <w:p>
      <w:pPr>
        <w:pStyle w:val="14"/>
        <w:rPr>
          <w:rFonts w:hint="default"/>
          <w:lang w:val="zh-CN"/>
        </w:rPr>
      </w:pPr>
      <w:r>
        <w:rPr>
          <w:rFonts w:hint="default"/>
          <w:lang w:val="zh-CN"/>
        </w:rPr>
        <w:t>（4）应急培训计划的衔接</w:t>
      </w:r>
    </w:p>
    <w:p>
      <w:pPr>
        <w:pStyle w:val="14"/>
        <w:rPr>
          <w:rFonts w:hint="default"/>
          <w:lang w:val="zh-CN"/>
        </w:rPr>
      </w:pPr>
      <w:r>
        <w:rPr>
          <w:rFonts w:hint="default"/>
          <w:lang w:val="zh-CN"/>
        </w:rPr>
        <w:t>企业在开展应急培训计划的同时，还应积极配合</w:t>
      </w:r>
      <w:r>
        <w:rPr>
          <w:rFonts w:hint="eastAsia"/>
          <w:lang w:val="en-US" w:eastAsia="zh-CN"/>
        </w:rPr>
        <w:t>赣州市</w:t>
      </w:r>
      <w:r>
        <w:rPr>
          <w:rFonts w:hint="eastAsia"/>
          <w:lang w:val="zh-CN"/>
        </w:rPr>
        <w:t>生态环境</w:t>
      </w:r>
      <w:r>
        <w:rPr>
          <w:rFonts w:hint="default"/>
          <w:lang w:val="zh-CN"/>
        </w:rPr>
        <w:t>局、</w:t>
      </w:r>
      <w:r>
        <w:rPr>
          <w:rFonts w:hint="eastAsia"/>
          <w:lang w:val="en-US" w:eastAsia="zh-CN"/>
        </w:rPr>
        <w:t>赣州市开发区</w:t>
      </w:r>
      <w:r>
        <w:rPr>
          <w:rFonts w:hint="default"/>
          <w:lang w:val="zh-CN"/>
        </w:rPr>
        <w:t>环保局开展的应急培训工作；在发生环境风险事件时，及时与</w:t>
      </w:r>
      <w:r>
        <w:rPr>
          <w:rFonts w:hint="eastAsia"/>
          <w:lang w:val="en-US" w:eastAsia="zh-CN"/>
        </w:rPr>
        <w:t>赣州市</w:t>
      </w:r>
      <w:r>
        <w:rPr>
          <w:rFonts w:hint="default"/>
          <w:lang w:val="zh-CN"/>
        </w:rPr>
        <w:t>突发环境事件应急指挥部取得联系。</w:t>
      </w:r>
    </w:p>
    <w:p>
      <w:pPr>
        <w:pStyle w:val="14"/>
        <w:rPr>
          <w:rFonts w:hint="default"/>
          <w:lang w:val="zh-CN"/>
        </w:rPr>
      </w:pPr>
      <w:r>
        <w:rPr>
          <w:rFonts w:hint="default"/>
          <w:lang w:val="zh-CN"/>
        </w:rPr>
        <w:t>（5）公众教育的衔接</w:t>
      </w:r>
    </w:p>
    <w:p>
      <w:pPr>
        <w:pStyle w:val="14"/>
        <w:rPr>
          <w:rFonts w:hint="default"/>
        </w:rPr>
      </w:pPr>
      <w:bookmarkStart w:id="118" w:name="_Toc2290"/>
      <w:bookmarkStart w:id="119" w:name="_Toc11346"/>
      <w:r>
        <w:rPr>
          <w:rFonts w:hint="default"/>
          <w:lang w:val="zh-CN"/>
        </w:rPr>
        <w:t>企业对厂内员工和附近地区公众开展教育、培训时，应加强与周边公众和相关单位的交流，如发生事故，可更好的疏散和撤离</w:t>
      </w:r>
      <w:r>
        <w:rPr>
          <w:rFonts w:hint="default"/>
        </w:rPr>
        <w:t>。</w:t>
      </w:r>
      <w:bookmarkEnd w:id="118"/>
      <w:bookmarkEnd w:id="119"/>
    </w:p>
    <w:p>
      <w:pPr>
        <w:pStyle w:val="3"/>
        <w:numPr>
          <w:ilvl w:val="0"/>
          <w:numId w:val="0"/>
        </w:numPr>
        <w:ind w:leftChars="0"/>
        <w:jc w:val="center"/>
        <w:rPr>
          <w:rStyle w:val="26"/>
          <w:rFonts w:hint="eastAsia"/>
          <w:b/>
          <w:bCs/>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bookmarkStart w:id="120" w:name="_Toc17745"/>
      <w:bookmarkStart w:id="121" w:name="_Toc23539"/>
      <w:bookmarkStart w:id="122" w:name="_Toc10301"/>
    </w:p>
    <w:p>
      <w:pPr>
        <w:pStyle w:val="3"/>
        <w:numPr>
          <w:ilvl w:val="0"/>
          <w:numId w:val="0"/>
        </w:numPr>
        <w:ind w:leftChars="0"/>
        <w:jc w:val="center"/>
        <w:rPr>
          <w:rFonts w:hint="default" w:ascii="Times New Roman" w:hAnsi="Times New Roman" w:cs="Times New Roman"/>
          <w:color w:val="auto"/>
          <w:highlight w:val="none"/>
          <w:u w:val="none"/>
        </w:rPr>
      </w:pPr>
      <w:bookmarkStart w:id="123" w:name="_Toc31451_WPSOffice_Level1"/>
      <w:r>
        <w:rPr>
          <w:rStyle w:val="26"/>
          <w:rFonts w:hint="eastAsia"/>
          <w:b/>
          <w:bCs/>
          <w:lang w:val="en-US" w:eastAsia="zh-CN"/>
        </w:rPr>
        <w:t>2</w:t>
      </w:r>
      <w:r>
        <w:rPr>
          <w:rStyle w:val="26"/>
          <w:rFonts w:hint="default"/>
          <w:b/>
          <w:bCs/>
        </w:rPr>
        <w:t>企业概况与周围环境概况</w:t>
      </w:r>
      <w:bookmarkEnd w:id="120"/>
      <w:bookmarkEnd w:id="121"/>
      <w:bookmarkEnd w:id="122"/>
      <w:bookmarkEnd w:id="123"/>
    </w:p>
    <w:p>
      <w:pPr>
        <w:pStyle w:val="20"/>
        <w:rPr>
          <w:rFonts w:hint="default"/>
          <w:lang w:eastAsia="zh-CN"/>
        </w:rPr>
      </w:pPr>
      <w:bookmarkStart w:id="124" w:name="_Toc8231"/>
      <w:bookmarkStart w:id="125" w:name="_Toc19300"/>
      <w:bookmarkStart w:id="126" w:name="_Toc23085_WPSOffice_Level1"/>
      <w:bookmarkStart w:id="127" w:name="_Toc24753"/>
      <w:r>
        <w:rPr>
          <w:rFonts w:hint="eastAsia"/>
          <w:lang w:val="en-US" w:eastAsia="zh-CN"/>
        </w:rPr>
        <w:t>2.1</w:t>
      </w:r>
      <w:r>
        <w:rPr>
          <w:rFonts w:hint="default"/>
        </w:rPr>
        <w:t>企业基本情况</w:t>
      </w:r>
      <w:bookmarkEnd w:id="124"/>
      <w:bookmarkEnd w:id="125"/>
      <w:bookmarkEnd w:id="126"/>
      <w:bookmarkEnd w:id="127"/>
    </w:p>
    <w:p>
      <w:pPr>
        <w:pStyle w:val="14"/>
        <w:rPr>
          <w:rFonts w:hint="eastAsia"/>
          <w:lang w:val="en-US" w:eastAsia="zh-CN"/>
        </w:rPr>
      </w:pPr>
      <w:r>
        <w:rPr>
          <w:rFonts w:hint="eastAsia"/>
          <w:lang w:eastAsia="zh-CN"/>
        </w:rPr>
        <w:t>中节能环保投资发展（江西）有限公司赣州经济技术开发区工业污水处理厂原名</w:t>
      </w:r>
      <w:r>
        <w:rPr>
          <w:rFonts w:hint="eastAsia" w:ascii="宋体" w:hAnsi="宋体"/>
          <w:color w:val="000000"/>
        </w:rPr>
        <w:t>江西赣州香港工业园区污水处理厂</w:t>
      </w:r>
      <w:r>
        <w:rPr>
          <w:rFonts w:hint="eastAsia" w:ascii="宋体" w:hAnsi="宋体"/>
          <w:color w:val="000000"/>
          <w:lang w:eastAsia="zh-CN"/>
        </w:rPr>
        <w:t>，</w:t>
      </w:r>
      <w:r>
        <w:rPr>
          <w:rFonts w:hint="eastAsia"/>
          <w:lang w:eastAsia="zh-CN"/>
        </w:rPr>
        <w:t>位于赣州经济技术开发区岗边村上坝，厂区中心地理位置坐标为东经</w:t>
      </w:r>
      <w:r>
        <w:rPr>
          <w:rFonts w:hint="eastAsia"/>
          <w:lang w:val="en-US" w:eastAsia="zh-CN"/>
        </w:rPr>
        <w:t>114°54′39.85″，北纬25°54′02.28″，一期工程占地面积34632.04m</w:t>
      </w:r>
      <w:r>
        <w:rPr>
          <w:rFonts w:hint="eastAsia"/>
          <w:vertAlign w:val="superscript"/>
          <w:lang w:val="en-US" w:eastAsia="zh-CN"/>
        </w:rPr>
        <w:t>2</w:t>
      </w:r>
      <w:r>
        <w:rPr>
          <w:rFonts w:hint="eastAsia"/>
          <w:lang w:val="en-US" w:eastAsia="zh-CN"/>
        </w:rPr>
        <w:t>，主要接纳工业路-纬一路以北区域工业污水，</w:t>
      </w:r>
      <w:r>
        <w:rPr>
          <w:rFonts w:hint="eastAsia"/>
          <w:lang w:eastAsia="zh-CN"/>
        </w:rPr>
        <w:t>污水厂工程建设规模一期1.0万m</w:t>
      </w:r>
      <w:r>
        <w:rPr>
          <w:rFonts w:hint="eastAsia"/>
          <w:vertAlign w:val="superscript"/>
          <w:lang w:eastAsia="zh-CN"/>
        </w:rPr>
        <w:t>3</w:t>
      </w:r>
      <w:r>
        <w:rPr>
          <w:rFonts w:hint="eastAsia"/>
          <w:lang w:eastAsia="zh-CN"/>
        </w:rPr>
        <w:t>/d，远期2.0万m</w:t>
      </w:r>
      <w:r>
        <w:rPr>
          <w:rFonts w:hint="eastAsia"/>
          <w:vertAlign w:val="superscript"/>
          <w:lang w:eastAsia="zh-CN"/>
        </w:rPr>
        <w:t>3</w:t>
      </w:r>
      <w:r>
        <w:rPr>
          <w:rFonts w:hint="eastAsia"/>
          <w:lang w:eastAsia="zh-CN"/>
        </w:rPr>
        <w:t>/d。尾水管网长约</w:t>
      </w:r>
      <w:r>
        <w:rPr>
          <w:rFonts w:hint="eastAsia"/>
          <w:lang w:val="en-US" w:eastAsia="zh-CN"/>
        </w:rPr>
        <w:t>6.5km。</w:t>
      </w:r>
    </w:p>
    <w:p>
      <w:pPr>
        <w:pStyle w:val="14"/>
        <w:rPr>
          <w:rFonts w:hint="eastAsia"/>
          <w:lang w:eastAsia="zh-CN"/>
        </w:rPr>
      </w:pPr>
      <w:r>
        <w:rPr>
          <w:rFonts w:hint="eastAsia"/>
          <w:lang w:eastAsia="zh-CN"/>
        </w:rPr>
        <w:t>本工程年工作365天，污水处理值班岗位8人实行“四班两运转制”，每班连续工作</w:t>
      </w:r>
      <w:r>
        <w:rPr>
          <w:rFonts w:hint="eastAsia"/>
          <w:lang w:val="en-US" w:eastAsia="zh-CN"/>
        </w:rPr>
        <w:t>12</w:t>
      </w:r>
      <w:r>
        <w:rPr>
          <w:rFonts w:hint="eastAsia"/>
          <w:lang w:eastAsia="zh-CN"/>
        </w:rPr>
        <w:t>h；污泥处理值班岗、化验室岗、维修岗、管理及服务部门实行“单班制”。项目职工人数15人，其中生产人员13人，管理服务人员2人。</w:t>
      </w:r>
    </w:p>
    <w:p>
      <w:pPr>
        <w:pStyle w:val="14"/>
        <w:rPr>
          <w:rFonts w:hint="eastAsia" w:eastAsia="宋体"/>
          <w:lang w:val="en-US" w:eastAsia="zh-CN"/>
        </w:rPr>
      </w:pPr>
      <w:r>
        <w:rPr>
          <w:rFonts w:hint="eastAsia"/>
          <w:lang w:eastAsia="zh-CN"/>
        </w:rPr>
        <w:t>经济技术开发区污水处理厂由中节能环保投资发展（江西）有限公司运</w:t>
      </w:r>
      <w:r>
        <w:rPr>
          <w:rFonts w:hint="default"/>
        </w:rPr>
        <w:t>营，项目于201</w:t>
      </w:r>
      <w:r>
        <w:rPr>
          <w:rFonts w:hint="eastAsia"/>
          <w:lang w:val="en-US" w:eastAsia="zh-CN"/>
        </w:rPr>
        <w:t>7</w:t>
      </w:r>
      <w:r>
        <w:rPr>
          <w:rFonts w:hint="default"/>
        </w:rPr>
        <w:t>年</w:t>
      </w:r>
      <w:r>
        <w:rPr>
          <w:rFonts w:hint="eastAsia"/>
          <w:lang w:val="en-US" w:eastAsia="zh-CN"/>
        </w:rPr>
        <w:t>10</w:t>
      </w:r>
      <w:r>
        <w:rPr>
          <w:rFonts w:hint="default"/>
        </w:rPr>
        <w:t>月办理了环评，并取得</w:t>
      </w:r>
      <w:r>
        <w:rPr>
          <w:rFonts w:hint="eastAsia"/>
          <w:lang w:eastAsia="zh-CN"/>
        </w:rPr>
        <w:t>赣州市环境保护局开发区分局</w:t>
      </w:r>
      <w:r>
        <w:rPr>
          <w:rFonts w:hint="default"/>
        </w:rPr>
        <w:t>批复意见（</w:t>
      </w:r>
      <w:r>
        <w:rPr>
          <w:rFonts w:hint="eastAsia"/>
          <w:lang w:eastAsia="zh-CN"/>
        </w:rPr>
        <w:t>赣市环开发</w:t>
      </w:r>
      <w:r>
        <w:rPr>
          <w:rFonts w:hint="default"/>
        </w:rPr>
        <w:t>[201</w:t>
      </w:r>
      <w:r>
        <w:rPr>
          <w:rFonts w:hint="eastAsia"/>
          <w:lang w:val="en-US" w:eastAsia="zh-CN"/>
        </w:rPr>
        <w:t>7</w:t>
      </w:r>
      <w:r>
        <w:rPr>
          <w:rFonts w:hint="default"/>
        </w:rPr>
        <w:t>]</w:t>
      </w:r>
      <w:r>
        <w:rPr>
          <w:rFonts w:hint="eastAsia"/>
          <w:lang w:val="en-US" w:eastAsia="zh-CN"/>
        </w:rPr>
        <w:t>80</w:t>
      </w:r>
      <w:r>
        <w:rPr>
          <w:rFonts w:hint="default"/>
        </w:rPr>
        <w:t>号）</w:t>
      </w:r>
      <w:r>
        <w:rPr>
          <w:rFonts w:hint="eastAsia"/>
          <w:lang w:eastAsia="zh-CN"/>
        </w:rPr>
        <w:t>。</w:t>
      </w:r>
    </w:p>
    <w:p>
      <w:pPr>
        <w:spacing w:line="360" w:lineRule="auto"/>
        <w:ind w:firstLine="48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赣州经济技术开发区工业污水处理厂</w:t>
      </w:r>
      <w:r>
        <w:rPr>
          <w:rFonts w:hint="default" w:ascii="Times New Roman" w:hAnsi="Times New Roman" w:eastAsia="宋体" w:cs="Times New Roman"/>
          <w:color w:val="auto"/>
          <w:sz w:val="24"/>
          <w:szCs w:val="24"/>
        </w:rPr>
        <w:t>基本信息见下表。</w:t>
      </w:r>
    </w:p>
    <w:p>
      <w:pPr>
        <w:pStyle w:val="16"/>
        <w:rPr>
          <w:rFonts w:hint="default"/>
        </w:rPr>
      </w:pPr>
      <w:r>
        <w:rPr>
          <w:rFonts w:hint="default"/>
        </w:rPr>
        <w:t xml:space="preserve">表2.1-1   </w:t>
      </w:r>
      <w:r>
        <w:rPr>
          <w:rFonts w:hint="eastAsia"/>
          <w:lang w:eastAsia="zh-CN"/>
        </w:rPr>
        <w:t>赣州市经开区处理厂</w:t>
      </w:r>
      <w:r>
        <w:rPr>
          <w:rFonts w:hint="default"/>
        </w:rPr>
        <w:t>基本信息一览表</w:t>
      </w:r>
    </w:p>
    <w:tbl>
      <w:tblPr>
        <w:tblStyle w:val="10"/>
        <w:tblW w:w="8334" w:type="dxa"/>
        <w:jc w:val="center"/>
        <w:tblInd w:w="108"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2742"/>
        <w:gridCol w:w="1491"/>
        <w:gridCol w:w="270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trHeight w:val="397" w:hRule="atLeast"/>
          <w:jc w:val="center"/>
        </w:trPr>
        <w:tc>
          <w:tcPr>
            <w:tcW w:w="1400" w:type="dxa"/>
            <w:tcBorders>
              <w:tl2br w:val="nil"/>
              <w:tr2bl w:val="nil"/>
            </w:tcBorders>
            <w:vAlign w:val="center"/>
          </w:tcPr>
          <w:p>
            <w:pPr>
              <w:pStyle w:val="18"/>
            </w:pPr>
            <w:bookmarkStart w:id="128" w:name="_Toc17380"/>
            <w:r>
              <w:t>单位名称</w:t>
            </w:r>
          </w:p>
        </w:tc>
        <w:tc>
          <w:tcPr>
            <w:tcW w:w="2742" w:type="dxa"/>
            <w:tcBorders>
              <w:tl2br w:val="nil"/>
              <w:tr2bl w:val="nil"/>
            </w:tcBorders>
            <w:vAlign w:val="center"/>
          </w:tcPr>
          <w:p>
            <w:pPr>
              <w:pStyle w:val="18"/>
              <w:rPr>
                <w:rFonts w:hint="eastAsia"/>
              </w:rPr>
            </w:pPr>
            <w:r>
              <w:rPr>
                <w:rFonts w:hint="eastAsia"/>
                <w:lang w:eastAsia="zh-CN"/>
              </w:rPr>
              <w:t>中节能环保投资发展（江西）有限公司赣州经济技术开发区工业污水处理厂</w:t>
            </w:r>
          </w:p>
        </w:tc>
        <w:tc>
          <w:tcPr>
            <w:tcW w:w="1491" w:type="dxa"/>
            <w:tcBorders>
              <w:tl2br w:val="nil"/>
              <w:tr2bl w:val="nil"/>
            </w:tcBorders>
            <w:vAlign w:val="center"/>
          </w:tcPr>
          <w:p>
            <w:pPr>
              <w:pStyle w:val="18"/>
            </w:pPr>
            <w:r>
              <w:t>组织机构代码</w:t>
            </w:r>
          </w:p>
        </w:tc>
        <w:tc>
          <w:tcPr>
            <w:tcW w:w="2701" w:type="dxa"/>
            <w:tcBorders>
              <w:tl2br w:val="nil"/>
              <w:tr2bl w:val="nil"/>
            </w:tcBorders>
            <w:vAlign w:val="center"/>
          </w:tcPr>
          <w:p>
            <w:pPr>
              <w:pStyle w:val="18"/>
            </w:pPr>
            <w:r>
              <w:t>9136</w:t>
            </w:r>
            <w:r>
              <w:rPr>
                <w:rFonts w:hint="eastAsia"/>
                <w:lang w:val="en-US" w:eastAsia="zh-CN"/>
              </w:rPr>
              <w:t>0703MA38AGLG2K</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trHeight w:val="397" w:hRule="atLeast"/>
          <w:jc w:val="center"/>
        </w:trPr>
        <w:tc>
          <w:tcPr>
            <w:tcW w:w="1400" w:type="dxa"/>
            <w:tcBorders>
              <w:tl2br w:val="nil"/>
              <w:tr2bl w:val="nil"/>
            </w:tcBorders>
            <w:vAlign w:val="center"/>
          </w:tcPr>
          <w:p>
            <w:pPr>
              <w:pStyle w:val="18"/>
            </w:pPr>
            <w:r>
              <w:t>法定代表人</w:t>
            </w:r>
          </w:p>
        </w:tc>
        <w:tc>
          <w:tcPr>
            <w:tcW w:w="2742" w:type="dxa"/>
            <w:tcBorders>
              <w:tl2br w:val="nil"/>
              <w:tr2bl w:val="nil"/>
            </w:tcBorders>
            <w:vAlign w:val="center"/>
          </w:tcPr>
          <w:p>
            <w:pPr>
              <w:pStyle w:val="18"/>
              <w:rPr>
                <w:rFonts w:hint="eastAsia" w:eastAsia="宋体"/>
                <w:lang w:eastAsia="zh-CN"/>
              </w:rPr>
            </w:pPr>
            <w:r>
              <w:rPr>
                <w:rFonts w:hint="eastAsia"/>
                <w:lang w:eastAsia="zh-CN"/>
              </w:rPr>
              <w:t>魏跃林</w:t>
            </w:r>
          </w:p>
        </w:tc>
        <w:tc>
          <w:tcPr>
            <w:tcW w:w="1491" w:type="dxa"/>
            <w:tcBorders>
              <w:tl2br w:val="nil"/>
              <w:tr2bl w:val="nil"/>
            </w:tcBorders>
            <w:vAlign w:val="center"/>
          </w:tcPr>
          <w:p>
            <w:pPr>
              <w:pStyle w:val="18"/>
            </w:pPr>
            <w:r>
              <w:t>建设地点</w:t>
            </w:r>
          </w:p>
        </w:tc>
        <w:tc>
          <w:tcPr>
            <w:tcW w:w="2701" w:type="dxa"/>
            <w:tcBorders>
              <w:tl2br w:val="nil"/>
              <w:tr2bl w:val="nil"/>
            </w:tcBorders>
            <w:vAlign w:val="center"/>
          </w:tcPr>
          <w:p>
            <w:pPr>
              <w:pStyle w:val="18"/>
              <w:rPr>
                <w:rFonts w:hint="eastAsia"/>
              </w:rPr>
            </w:pPr>
            <w:r>
              <w:rPr>
                <w:rFonts w:hint="eastAsia"/>
                <w:lang w:eastAsia="zh-CN"/>
              </w:rPr>
              <w:t>赣州经济技术开发区岗边村上坝</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400" w:type="dxa"/>
            <w:tcBorders>
              <w:tl2br w:val="nil"/>
              <w:tr2bl w:val="nil"/>
            </w:tcBorders>
            <w:vAlign w:val="center"/>
          </w:tcPr>
          <w:p>
            <w:pPr>
              <w:pStyle w:val="18"/>
            </w:pPr>
            <w:r>
              <w:t>中心经度</w:t>
            </w:r>
          </w:p>
        </w:tc>
        <w:tc>
          <w:tcPr>
            <w:tcW w:w="2742" w:type="dxa"/>
            <w:tcBorders>
              <w:tl2br w:val="nil"/>
              <w:tr2bl w:val="nil"/>
            </w:tcBorders>
            <w:vAlign w:val="center"/>
          </w:tcPr>
          <w:p>
            <w:pPr>
              <w:pStyle w:val="18"/>
            </w:pPr>
            <w:r>
              <w:rPr>
                <w:rFonts w:hint="default" w:ascii="Times New Roman" w:hAnsi="Times New Roman" w:eastAsia="宋体" w:cs="Times New Roman"/>
                <w:snapToGrid/>
                <w:color w:val="auto"/>
                <w:spacing w:val="4"/>
                <w:w w:val="100"/>
                <w:sz w:val="21"/>
                <w:szCs w:val="21"/>
                <w:lang w:val="en-US" w:eastAsia="zh-CN"/>
              </w:rPr>
              <w:t>114°54′39.85″</w:t>
            </w:r>
          </w:p>
        </w:tc>
        <w:tc>
          <w:tcPr>
            <w:tcW w:w="1491" w:type="dxa"/>
            <w:tcBorders>
              <w:tl2br w:val="nil"/>
              <w:tr2bl w:val="nil"/>
            </w:tcBorders>
            <w:vAlign w:val="center"/>
          </w:tcPr>
          <w:p>
            <w:pPr>
              <w:pStyle w:val="18"/>
            </w:pPr>
            <w:r>
              <w:t>中心纬度</w:t>
            </w:r>
          </w:p>
        </w:tc>
        <w:tc>
          <w:tcPr>
            <w:tcW w:w="2701" w:type="dxa"/>
            <w:tcBorders>
              <w:tl2br w:val="nil"/>
              <w:tr2bl w:val="nil"/>
            </w:tcBorders>
            <w:vAlign w:val="center"/>
          </w:tcPr>
          <w:p>
            <w:pPr>
              <w:pStyle w:val="18"/>
              <w:rPr>
                <w:rFonts w:hint="eastAsia"/>
              </w:rPr>
            </w:pPr>
            <w:r>
              <w:rPr>
                <w:rFonts w:hint="default" w:ascii="Times New Roman" w:hAnsi="Times New Roman" w:eastAsia="宋体" w:cs="Times New Roman"/>
                <w:snapToGrid/>
                <w:color w:val="auto"/>
                <w:spacing w:val="4"/>
                <w:w w:val="100"/>
                <w:sz w:val="21"/>
                <w:szCs w:val="21"/>
                <w:lang w:val="en-US" w:eastAsia="zh-CN"/>
              </w:rPr>
              <w:t>25°54′02.28″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400" w:type="dxa"/>
            <w:tcBorders>
              <w:tl2br w:val="nil"/>
              <w:tr2bl w:val="nil"/>
            </w:tcBorders>
            <w:vAlign w:val="center"/>
          </w:tcPr>
          <w:p>
            <w:pPr>
              <w:pStyle w:val="18"/>
            </w:pPr>
            <w:r>
              <w:t>所属行业类别</w:t>
            </w:r>
          </w:p>
        </w:tc>
        <w:tc>
          <w:tcPr>
            <w:tcW w:w="2742" w:type="dxa"/>
            <w:tcBorders>
              <w:tl2br w:val="nil"/>
              <w:tr2bl w:val="nil"/>
            </w:tcBorders>
            <w:vAlign w:val="center"/>
          </w:tcPr>
          <w:p>
            <w:pPr>
              <w:pStyle w:val="18"/>
              <w:rPr>
                <w:rFonts w:hint="eastAsia"/>
              </w:rPr>
            </w:pPr>
            <w:r>
              <w:rPr>
                <w:rFonts w:hint="default"/>
              </w:rPr>
              <w:t>D4620污水处理及其再生利用</w:t>
            </w:r>
          </w:p>
        </w:tc>
        <w:tc>
          <w:tcPr>
            <w:tcW w:w="1491" w:type="dxa"/>
            <w:tcBorders>
              <w:tl2br w:val="nil"/>
              <w:tr2bl w:val="nil"/>
            </w:tcBorders>
            <w:vAlign w:val="center"/>
          </w:tcPr>
          <w:p>
            <w:pPr>
              <w:pStyle w:val="18"/>
            </w:pPr>
            <w:r>
              <w:t>建厂年月</w:t>
            </w:r>
          </w:p>
        </w:tc>
        <w:tc>
          <w:tcPr>
            <w:tcW w:w="2701" w:type="dxa"/>
            <w:tcBorders>
              <w:tl2br w:val="nil"/>
              <w:tr2bl w:val="nil"/>
            </w:tcBorders>
            <w:vAlign w:val="center"/>
          </w:tcPr>
          <w:p>
            <w:pPr>
              <w:pStyle w:val="18"/>
              <w:rPr>
                <w:rFonts w:hint="eastAsia"/>
              </w:rPr>
            </w:pPr>
            <w:r>
              <w:rPr>
                <w:rFonts w:hint="eastAsia"/>
              </w:rPr>
              <w:t>20</w:t>
            </w:r>
            <w:r>
              <w:rPr>
                <w:rFonts w:hint="eastAsia"/>
                <w:lang w:val="en-US" w:eastAsia="zh-CN"/>
              </w:rPr>
              <w:t>18</w:t>
            </w:r>
            <w:r>
              <w:rPr>
                <w:rFonts w:hint="eastAsia"/>
              </w:rPr>
              <w:t>年</w:t>
            </w:r>
            <w:r>
              <w:rPr>
                <w:rFonts w:hint="eastAsia"/>
                <w:lang w:val="en-US" w:eastAsia="zh-CN"/>
              </w:rPr>
              <w:t>8</w:t>
            </w:r>
            <w:r>
              <w:t xml:space="preserve"> </w:t>
            </w:r>
            <w:r>
              <w:rPr>
                <w:rFonts w:hint="eastAsia"/>
              </w:rPr>
              <w:t>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400" w:type="dxa"/>
            <w:tcBorders>
              <w:tl2br w:val="nil"/>
              <w:tr2bl w:val="nil"/>
            </w:tcBorders>
            <w:vAlign w:val="center"/>
          </w:tcPr>
          <w:p>
            <w:pPr>
              <w:pStyle w:val="18"/>
              <w:rPr>
                <w:rFonts w:hint="eastAsia"/>
              </w:rPr>
            </w:pPr>
            <w:r>
              <w:t>联系</w:t>
            </w:r>
            <w:r>
              <w:rPr>
                <w:rFonts w:hint="eastAsia"/>
              </w:rPr>
              <w:t>人</w:t>
            </w:r>
          </w:p>
        </w:tc>
        <w:tc>
          <w:tcPr>
            <w:tcW w:w="2742" w:type="dxa"/>
            <w:tcBorders>
              <w:tl2br w:val="nil"/>
              <w:tr2bl w:val="nil"/>
            </w:tcBorders>
            <w:vAlign w:val="center"/>
          </w:tcPr>
          <w:p>
            <w:pPr>
              <w:pStyle w:val="18"/>
              <w:rPr>
                <w:rFonts w:hint="eastAsia" w:eastAsia="宋体"/>
                <w:lang w:val="en-US" w:eastAsia="zh-CN"/>
              </w:rPr>
            </w:pPr>
            <w:r>
              <w:rPr>
                <w:rFonts w:hint="eastAsia"/>
                <w:lang w:eastAsia="zh-CN"/>
              </w:rPr>
              <w:t>魏跃林</w:t>
            </w:r>
          </w:p>
        </w:tc>
        <w:tc>
          <w:tcPr>
            <w:tcW w:w="1491" w:type="dxa"/>
            <w:tcBorders>
              <w:tl2br w:val="nil"/>
              <w:tr2bl w:val="nil"/>
            </w:tcBorders>
            <w:vAlign w:val="center"/>
          </w:tcPr>
          <w:p>
            <w:pPr>
              <w:pStyle w:val="18"/>
            </w:pPr>
            <w:r>
              <w:t>联系方式</w:t>
            </w:r>
          </w:p>
        </w:tc>
        <w:tc>
          <w:tcPr>
            <w:tcW w:w="2701" w:type="dxa"/>
            <w:tcBorders>
              <w:tl2br w:val="nil"/>
              <w:tr2bl w:val="nil"/>
            </w:tcBorders>
            <w:vAlign w:val="center"/>
          </w:tcPr>
          <w:p>
            <w:pPr>
              <w:pStyle w:val="18"/>
              <w:rPr>
                <w:rFonts w:hint="eastAsia" w:eastAsia="宋体"/>
                <w:lang w:val="en-US" w:eastAsia="zh-CN"/>
              </w:rPr>
            </w:pPr>
            <w:r>
              <w:rPr>
                <w:rFonts w:hint="default"/>
              </w:rPr>
              <w:t>18779106209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400" w:type="dxa"/>
            <w:tcBorders>
              <w:tl2br w:val="nil"/>
              <w:tr2bl w:val="nil"/>
            </w:tcBorders>
            <w:vAlign w:val="center"/>
          </w:tcPr>
          <w:p>
            <w:pPr>
              <w:pStyle w:val="18"/>
            </w:pPr>
            <w:r>
              <w:t>厂区面积</w:t>
            </w:r>
          </w:p>
        </w:tc>
        <w:tc>
          <w:tcPr>
            <w:tcW w:w="2742" w:type="dxa"/>
            <w:tcBorders>
              <w:tl2br w:val="nil"/>
              <w:tr2bl w:val="nil"/>
            </w:tcBorders>
            <w:vAlign w:val="center"/>
          </w:tcPr>
          <w:p>
            <w:pPr>
              <w:pStyle w:val="18"/>
              <w:rPr>
                <w:rFonts w:hint="eastAsia"/>
              </w:rPr>
            </w:pPr>
            <w:r>
              <w:rPr>
                <w:rFonts w:hint="eastAsia"/>
                <w:lang w:val="en-US" w:eastAsia="zh-CN"/>
              </w:rPr>
              <w:t>34632.04m</w:t>
            </w:r>
            <w:r>
              <w:rPr>
                <w:rFonts w:hint="eastAsia"/>
                <w:vertAlign w:val="superscript"/>
                <w:lang w:val="en-US" w:eastAsia="zh-CN"/>
              </w:rPr>
              <w:t>2</w:t>
            </w:r>
          </w:p>
        </w:tc>
        <w:tc>
          <w:tcPr>
            <w:tcW w:w="1491" w:type="dxa"/>
            <w:tcBorders>
              <w:tl2br w:val="nil"/>
              <w:tr2bl w:val="nil"/>
            </w:tcBorders>
            <w:vAlign w:val="center"/>
          </w:tcPr>
          <w:p>
            <w:pPr>
              <w:pStyle w:val="18"/>
            </w:pPr>
            <w:r>
              <w:t>从业人数</w:t>
            </w:r>
          </w:p>
        </w:tc>
        <w:tc>
          <w:tcPr>
            <w:tcW w:w="2701" w:type="dxa"/>
            <w:tcBorders>
              <w:tl2br w:val="nil"/>
              <w:tr2bl w:val="nil"/>
            </w:tcBorders>
            <w:vAlign w:val="center"/>
          </w:tcPr>
          <w:p>
            <w:pPr>
              <w:pStyle w:val="18"/>
              <w:rPr>
                <w:rFonts w:hint="eastAsia"/>
                <w:lang w:val="en-US" w:eastAsia="zh-CN"/>
              </w:rPr>
            </w:pPr>
            <w:r>
              <w:rPr>
                <w:rFonts w:hint="eastAsia"/>
                <w:lang w:val="en-US" w:eastAsia="zh-CN"/>
              </w:rPr>
              <w:t>15</w:t>
            </w:r>
          </w:p>
        </w:tc>
      </w:tr>
      <w:bookmarkEnd w:id="128"/>
    </w:tbl>
    <w:p>
      <w:pPr>
        <w:pStyle w:val="21"/>
      </w:pPr>
      <w:bookmarkStart w:id="129" w:name="_Toc18362_WPSOffice_Level2"/>
      <w:bookmarkStart w:id="130" w:name="_Toc12500"/>
      <w:bookmarkStart w:id="131" w:name="_Toc11131"/>
      <w:bookmarkStart w:id="132" w:name="_Toc3594_WPSOffice_Level2"/>
      <w:r>
        <w:rPr>
          <w:rFonts w:hint="eastAsia"/>
          <w:lang w:val="en-US" w:eastAsia="zh-CN"/>
        </w:rPr>
        <w:t>2.1.1</w:t>
      </w:r>
      <w:r>
        <w:t>项目建设内容</w:t>
      </w:r>
      <w:bookmarkEnd w:id="129"/>
      <w:bookmarkEnd w:id="130"/>
      <w:bookmarkEnd w:id="131"/>
      <w:bookmarkEnd w:id="132"/>
    </w:p>
    <w:p>
      <w:pPr>
        <w:pStyle w:val="14"/>
      </w:pPr>
      <w:r>
        <w:rPr>
          <w:rFonts w:hint="eastAsia"/>
        </w:rPr>
        <w:t>因基地废水水量不足20000</w:t>
      </w:r>
      <w:r>
        <w:t>m</w:t>
      </w:r>
      <w:r>
        <w:rPr>
          <w:vertAlign w:val="superscript"/>
        </w:rPr>
        <w:t>3</w:t>
      </w:r>
      <w:r>
        <w:t>/d,</w:t>
      </w:r>
      <w:r>
        <w:rPr>
          <w:rFonts w:hint="eastAsia"/>
        </w:rPr>
        <w:t>将</w:t>
      </w:r>
      <w:r>
        <w:t>原</w:t>
      </w:r>
      <w:r>
        <w:rPr>
          <w:rFonts w:hint="eastAsia"/>
        </w:rPr>
        <w:t>2#改良SBR池</w:t>
      </w:r>
      <w:r>
        <w:t>改造成事故调节池</w:t>
      </w:r>
      <w:r>
        <w:rPr>
          <w:rFonts w:hint="eastAsia"/>
          <w:lang w:eastAsia="zh-CN"/>
        </w:rPr>
        <w:t>，赣州经开区污水处理厂</w:t>
      </w:r>
      <w:r>
        <w:rPr>
          <w:rFonts w:hint="eastAsia"/>
        </w:rPr>
        <w:t>主要生产设备设施、构（建）筑物</w:t>
      </w:r>
      <w:r>
        <w:t>详见下表。</w:t>
      </w:r>
    </w:p>
    <w:p>
      <w:pPr>
        <w:pStyle w:val="16"/>
        <w:rPr>
          <w:rFonts w:hint="eastAsia"/>
        </w:rPr>
      </w:pPr>
    </w:p>
    <w:p>
      <w:pPr>
        <w:pStyle w:val="16"/>
        <w:rPr>
          <w:rFonts w:hint="eastAsia"/>
        </w:rPr>
      </w:pPr>
    </w:p>
    <w:p>
      <w:pPr>
        <w:pStyle w:val="16"/>
        <w:rPr>
          <w:rFonts w:hint="eastAsia"/>
        </w:rPr>
      </w:pPr>
    </w:p>
    <w:p>
      <w:pPr>
        <w:pStyle w:val="16"/>
      </w:pPr>
      <w:r>
        <w:rPr>
          <w:rFonts w:hint="eastAsia"/>
        </w:rPr>
        <w:t>表</w:t>
      </w:r>
      <w:r>
        <w:rPr>
          <w:rFonts w:hint="eastAsia"/>
          <w:lang w:val="en-US" w:eastAsia="zh-CN"/>
        </w:rPr>
        <w:t>2.1-2</w:t>
      </w:r>
      <w:r>
        <w:rPr>
          <w:rFonts w:hint="eastAsia"/>
        </w:rPr>
        <w:t xml:space="preserve">       污水处理构筑物一览表</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455"/>
        <w:gridCol w:w="1577"/>
        <w:gridCol w:w="403"/>
        <w:gridCol w:w="518"/>
        <w:gridCol w:w="1"/>
        <w:gridCol w:w="3326"/>
        <w:gridCol w:w="1"/>
        <w:gridCol w:w="2053"/>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55" w:type="dxa"/>
            <w:noWrap w:val="0"/>
            <w:vAlign w:val="center"/>
          </w:tcPr>
          <w:p>
            <w:pPr>
              <w:pStyle w:val="18"/>
            </w:pPr>
            <w:r>
              <w:t>序号</w:t>
            </w:r>
          </w:p>
        </w:tc>
        <w:tc>
          <w:tcPr>
            <w:tcW w:w="1577" w:type="dxa"/>
            <w:noWrap w:val="0"/>
            <w:vAlign w:val="center"/>
          </w:tcPr>
          <w:p>
            <w:pPr>
              <w:pStyle w:val="18"/>
            </w:pPr>
            <w:r>
              <w:t>构筑物名称</w:t>
            </w:r>
          </w:p>
        </w:tc>
        <w:tc>
          <w:tcPr>
            <w:tcW w:w="403" w:type="dxa"/>
            <w:noWrap w:val="0"/>
            <w:vAlign w:val="center"/>
          </w:tcPr>
          <w:p>
            <w:pPr>
              <w:pStyle w:val="18"/>
            </w:pPr>
            <w:r>
              <w:t>单位</w:t>
            </w:r>
          </w:p>
        </w:tc>
        <w:tc>
          <w:tcPr>
            <w:tcW w:w="518" w:type="dxa"/>
            <w:noWrap w:val="0"/>
            <w:vAlign w:val="center"/>
          </w:tcPr>
          <w:p>
            <w:pPr>
              <w:pStyle w:val="18"/>
            </w:pPr>
            <w:r>
              <w:t>数量</w:t>
            </w:r>
          </w:p>
        </w:tc>
        <w:tc>
          <w:tcPr>
            <w:tcW w:w="3327" w:type="dxa"/>
            <w:gridSpan w:val="2"/>
            <w:noWrap w:val="0"/>
            <w:vAlign w:val="center"/>
          </w:tcPr>
          <w:p>
            <w:pPr>
              <w:pStyle w:val="18"/>
            </w:pPr>
            <w:r>
              <w:t>建筑尺寸(长×宽×高)</w:t>
            </w:r>
          </w:p>
        </w:tc>
        <w:tc>
          <w:tcPr>
            <w:tcW w:w="2054" w:type="dxa"/>
            <w:gridSpan w:val="2"/>
            <w:noWrap w:val="0"/>
            <w:vAlign w:val="center"/>
          </w:tcPr>
          <w:p>
            <w:pPr>
              <w:pStyle w:val="18"/>
            </w:pPr>
            <w:r>
              <w:t>设计参数</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一</w:t>
            </w:r>
          </w:p>
        </w:tc>
        <w:tc>
          <w:tcPr>
            <w:tcW w:w="7879" w:type="dxa"/>
            <w:gridSpan w:val="7"/>
            <w:noWrap w:val="0"/>
            <w:vAlign w:val="center"/>
          </w:tcPr>
          <w:p>
            <w:pPr>
              <w:pStyle w:val="18"/>
            </w:pPr>
            <w:r>
              <w:t>主体工程</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1</w:t>
            </w:r>
          </w:p>
        </w:tc>
        <w:tc>
          <w:tcPr>
            <w:tcW w:w="1577" w:type="dxa"/>
            <w:noWrap w:val="0"/>
            <w:vAlign w:val="center"/>
          </w:tcPr>
          <w:p>
            <w:pPr>
              <w:pStyle w:val="18"/>
            </w:pPr>
            <w:r>
              <w:t>粗格栅及提升泵房</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6" w:type="dxa"/>
            <w:noWrap w:val="0"/>
            <w:vAlign w:val="center"/>
          </w:tcPr>
          <w:p>
            <w:pPr>
              <w:pStyle w:val="18"/>
            </w:pPr>
            <w:r>
              <w:t>格栅渠道：单格6000×800×3900（H）mm，提升泵房：72m2，h=5.5m</w:t>
            </w:r>
          </w:p>
          <w:p>
            <w:pPr>
              <w:pStyle w:val="18"/>
            </w:pPr>
            <w:r>
              <w:t>钢筋砼结构，地下式</w:t>
            </w:r>
          </w:p>
        </w:tc>
        <w:tc>
          <w:tcPr>
            <w:tcW w:w="2054" w:type="dxa"/>
            <w:gridSpan w:val="2"/>
            <w:noWrap w:val="0"/>
            <w:vAlign w:val="top"/>
          </w:tcPr>
          <w:p>
            <w:pPr>
              <w:pStyle w:val="18"/>
            </w:pPr>
            <w:r>
              <w:t>一期设计流量1668m3/h</w:t>
            </w:r>
            <w:r>
              <w:rPr>
                <w:rFonts w:hint="eastAsia"/>
              </w:rPr>
              <w:t>≌</w:t>
            </w:r>
            <w:r>
              <w:t>0.46m3/s，提升泵房一、二期共用，二期仅增加设备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2</w:t>
            </w:r>
          </w:p>
        </w:tc>
        <w:tc>
          <w:tcPr>
            <w:tcW w:w="1577" w:type="dxa"/>
            <w:noWrap w:val="0"/>
            <w:vAlign w:val="center"/>
          </w:tcPr>
          <w:p>
            <w:pPr>
              <w:pStyle w:val="18"/>
            </w:pPr>
            <w:r>
              <w:t>细格栅及曝气沉砂池</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6" w:type="dxa"/>
            <w:noWrap w:val="0"/>
            <w:vAlign w:val="center"/>
          </w:tcPr>
          <w:p>
            <w:pPr>
              <w:pStyle w:val="18"/>
            </w:pPr>
            <w:r>
              <w:t>细格栅槽：6.7×0.8×2.1m</w:t>
            </w:r>
          </w:p>
          <w:p>
            <w:pPr>
              <w:pStyle w:val="18"/>
            </w:pPr>
            <w:r>
              <w:t xml:space="preserve">旋流沉砂池：Φ2.43m×2.4m，2组 </w:t>
            </w:r>
          </w:p>
          <w:p>
            <w:pPr>
              <w:pStyle w:val="18"/>
            </w:pPr>
            <w:r>
              <w:t>钢筋砼结构，半地下</w:t>
            </w:r>
          </w:p>
        </w:tc>
        <w:tc>
          <w:tcPr>
            <w:tcW w:w="2054" w:type="dxa"/>
            <w:gridSpan w:val="2"/>
            <w:noWrap w:val="0"/>
            <w:vAlign w:val="center"/>
          </w:tcPr>
          <w:p>
            <w:pPr>
              <w:pStyle w:val="18"/>
            </w:pPr>
            <w:r>
              <w:t>设计流量Q=0.12m3/s，最大流量为0.23m3/s</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3</w:t>
            </w:r>
          </w:p>
        </w:tc>
        <w:tc>
          <w:tcPr>
            <w:tcW w:w="1577" w:type="dxa"/>
            <w:noWrap w:val="0"/>
            <w:vAlign w:val="center"/>
          </w:tcPr>
          <w:p>
            <w:pPr>
              <w:pStyle w:val="18"/>
            </w:pPr>
            <w:r>
              <w:t>调节池及事故池</w:t>
            </w:r>
          </w:p>
        </w:tc>
        <w:tc>
          <w:tcPr>
            <w:tcW w:w="403" w:type="dxa"/>
            <w:noWrap w:val="0"/>
            <w:vAlign w:val="center"/>
          </w:tcPr>
          <w:p>
            <w:pPr>
              <w:pStyle w:val="18"/>
            </w:pPr>
            <w:r>
              <w:t>座</w:t>
            </w:r>
          </w:p>
        </w:tc>
        <w:tc>
          <w:tcPr>
            <w:tcW w:w="519" w:type="dxa"/>
            <w:gridSpan w:val="2"/>
            <w:noWrap w:val="0"/>
            <w:vAlign w:val="center"/>
          </w:tcPr>
          <w:p>
            <w:pPr>
              <w:pStyle w:val="18"/>
            </w:pPr>
            <w:r>
              <w:t>3</w:t>
            </w:r>
          </w:p>
        </w:tc>
        <w:tc>
          <w:tcPr>
            <w:tcW w:w="3326" w:type="dxa"/>
            <w:noWrap w:val="0"/>
            <w:vAlign w:val="center"/>
          </w:tcPr>
          <w:p>
            <w:pPr>
              <w:pStyle w:val="18"/>
            </w:pPr>
            <w:r>
              <w:t>单格31×10×6m，有效水深5.5m，调节池1座，事故池2座，合建，钢筋砼结构，半地下式</w:t>
            </w:r>
          </w:p>
        </w:tc>
        <w:tc>
          <w:tcPr>
            <w:tcW w:w="2054" w:type="dxa"/>
            <w:gridSpan w:val="2"/>
            <w:noWrap w:val="0"/>
            <w:vAlign w:val="top"/>
          </w:tcPr>
          <w:p>
            <w:pPr>
              <w:pStyle w:val="18"/>
            </w:pPr>
            <w:r>
              <w:t>设计流量Q=250m3/h</w:t>
            </w:r>
          </w:p>
          <w:p>
            <w:pPr>
              <w:pStyle w:val="18"/>
            </w:pPr>
            <w:r>
              <w:t>调节池停留时间按4h考虑</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4</w:t>
            </w:r>
          </w:p>
        </w:tc>
        <w:tc>
          <w:tcPr>
            <w:tcW w:w="1577" w:type="dxa"/>
            <w:noWrap w:val="0"/>
            <w:vAlign w:val="center"/>
          </w:tcPr>
          <w:p>
            <w:pPr>
              <w:pStyle w:val="18"/>
            </w:pPr>
            <w:r>
              <w:t>混凝沉淀池</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6" w:type="dxa"/>
            <w:noWrap w:val="0"/>
            <w:vAlign w:val="center"/>
          </w:tcPr>
          <w:p>
            <w:pPr>
              <w:pStyle w:val="18"/>
            </w:pPr>
            <w:r>
              <w:t>24×9×5.8m，有效水深5.3m</w:t>
            </w:r>
          </w:p>
          <w:p>
            <w:pPr>
              <w:pStyle w:val="18"/>
            </w:pPr>
            <w:r>
              <w:t>钢筋砼结构，全地上式</w:t>
            </w:r>
          </w:p>
        </w:tc>
        <w:tc>
          <w:tcPr>
            <w:tcW w:w="2054" w:type="dxa"/>
            <w:gridSpan w:val="2"/>
            <w:noWrap w:val="0"/>
            <w:vAlign w:val="top"/>
          </w:tcPr>
          <w:p>
            <w:pPr>
              <w:pStyle w:val="18"/>
            </w:pPr>
            <w:r>
              <w:t>设计流量Q=0.12m³/s</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5</w:t>
            </w:r>
          </w:p>
        </w:tc>
        <w:tc>
          <w:tcPr>
            <w:tcW w:w="1577" w:type="dxa"/>
            <w:noWrap w:val="0"/>
            <w:vAlign w:val="center"/>
          </w:tcPr>
          <w:p>
            <w:pPr>
              <w:pStyle w:val="18"/>
            </w:pPr>
            <w:r>
              <w:t>水解酸化池</w:t>
            </w:r>
          </w:p>
        </w:tc>
        <w:tc>
          <w:tcPr>
            <w:tcW w:w="403" w:type="dxa"/>
            <w:noWrap w:val="0"/>
            <w:vAlign w:val="center"/>
          </w:tcPr>
          <w:p>
            <w:pPr>
              <w:pStyle w:val="18"/>
            </w:pPr>
            <w:r>
              <w:t>座</w:t>
            </w:r>
          </w:p>
        </w:tc>
        <w:tc>
          <w:tcPr>
            <w:tcW w:w="519" w:type="dxa"/>
            <w:gridSpan w:val="2"/>
            <w:noWrap w:val="0"/>
            <w:vAlign w:val="center"/>
          </w:tcPr>
          <w:p>
            <w:pPr>
              <w:pStyle w:val="18"/>
            </w:pPr>
            <w:r>
              <w:t>2</w:t>
            </w:r>
          </w:p>
        </w:tc>
        <w:tc>
          <w:tcPr>
            <w:tcW w:w="3326" w:type="dxa"/>
            <w:noWrap w:val="0"/>
            <w:vAlign w:val="center"/>
          </w:tcPr>
          <w:p>
            <w:pPr>
              <w:pStyle w:val="18"/>
            </w:pPr>
            <w:r>
              <w:t xml:space="preserve">23×9×7.5m，有效水深7.0m </w:t>
            </w:r>
          </w:p>
          <w:p>
            <w:pPr>
              <w:pStyle w:val="18"/>
            </w:pPr>
            <w:r>
              <w:t>钢筋砼结构，半地下式</w:t>
            </w:r>
          </w:p>
        </w:tc>
        <w:tc>
          <w:tcPr>
            <w:tcW w:w="2054" w:type="dxa"/>
            <w:gridSpan w:val="2"/>
            <w:noWrap w:val="0"/>
            <w:vAlign w:val="top"/>
          </w:tcPr>
          <w:p>
            <w:pPr>
              <w:pStyle w:val="18"/>
            </w:pPr>
            <w:r>
              <w:t>设计流量Q=0.12m³/s</w:t>
            </w:r>
          </w:p>
          <w:p>
            <w:pPr>
              <w:pStyle w:val="18"/>
            </w:pPr>
            <w:r>
              <w:t>水力停留时间7h</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6</w:t>
            </w:r>
          </w:p>
        </w:tc>
        <w:tc>
          <w:tcPr>
            <w:tcW w:w="1577" w:type="dxa"/>
            <w:noWrap w:val="0"/>
            <w:vAlign w:val="center"/>
          </w:tcPr>
          <w:p>
            <w:pPr>
              <w:pStyle w:val="18"/>
            </w:pPr>
            <w:r>
              <w:t>A</w:t>
            </w:r>
            <w:r>
              <w:rPr>
                <w:vertAlign w:val="superscript"/>
              </w:rPr>
              <w:t>2</w:t>
            </w:r>
            <w:r>
              <w:t>/O生化池</w:t>
            </w:r>
          </w:p>
        </w:tc>
        <w:tc>
          <w:tcPr>
            <w:tcW w:w="403" w:type="dxa"/>
            <w:noWrap w:val="0"/>
            <w:vAlign w:val="center"/>
          </w:tcPr>
          <w:p>
            <w:pPr>
              <w:pStyle w:val="18"/>
            </w:pPr>
            <w:r>
              <w:t>座</w:t>
            </w:r>
          </w:p>
        </w:tc>
        <w:tc>
          <w:tcPr>
            <w:tcW w:w="519" w:type="dxa"/>
            <w:gridSpan w:val="2"/>
            <w:noWrap w:val="0"/>
            <w:vAlign w:val="center"/>
          </w:tcPr>
          <w:p>
            <w:pPr>
              <w:pStyle w:val="18"/>
            </w:pPr>
            <w:r>
              <w:t>2</w:t>
            </w:r>
          </w:p>
        </w:tc>
        <w:tc>
          <w:tcPr>
            <w:tcW w:w="3326" w:type="dxa"/>
            <w:noWrap w:val="0"/>
            <w:vAlign w:val="center"/>
          </w:tcPr>
          <w:p>
            <w:pPr>
              <w:pStyle w:val="18"/>
            </w:pPr>
            <w:r>
              <w:t>单组尺寸35×23×7.0m</w:t>
            </w:r>
          </w:p>
          <w:p>
            <w:pPr>
              <w:pStyle w:val="18"/>
            </w:pPr>
            <w:r>
              <w:t>有效水深6m</w:t>
            </w:r>
          </w:p>
          <w:p>
            <w:pPr>
              <w:pStyle w:val="18"/>
            </w:pPr>
            <w:r>
              <w:t>钢筋砼结构，半地下式</w:t>
            </w:r>
          </w:p>
        </w:tc>
        <w:tc>
          <w:tcPr>
            <w:tcW w:w="2054" w:type="dxa"/>
            <w:gridSpan w:val="2"/>
            <w:noWrap w:val="0"/>
            <w:vAlign w:val="top"/>
          </w:tcPr>
          <w:p>
            <w:pPr>
              <w:pStyle w:val="18"/>
            </w:pPr>
            <w:r>
              <w:t>停留时间11.6h，污泥浓度：3.0g/L；污泥负荷0.097kgBOD5/kgMLSS.d</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7</w:t>
            </w:r>
          </w:p>
        </w:tc>
        <w:tc>
          <w:tcPr>
            <w:tcW w:w="1577" w:type="dxa"/>
            <w:noWrap w:val="0"/>
            <w:vAlign w:val="center"/>
          </w:tcPr>
          <w:p>
            <w:pPr>
              <w:pStyle w:val="18"/>
            </w:pPr>
            <w:r>
              <w:t>二沉池</w:t>
            </w:r>
          </w:p>
        </w:tc>
        <w:tc>
          <w:tcPr>
            <w:tcW w:w="403" w:type="dxa"/>
            <w:noWrap w:val="0"/>
            <w:vAlign w:val="center"/>
          </w:tcPr>
          <w:p>
            <w:pPr>
              <w:pStyle w:val="18"/>
            </w:pPr>
            <w:r>
              <w:t>座</w:t>
            </w:r>
          </w:p>
        </w:tc>
        <w:tc>
          <w:tcPr>
            <w:tcW w:w="519" w:type="dxa"/>
            <w:gridSpan w:val="2"/>
            <w:noWrap w:val="0"/>
            <w:vAlign w:val="center"/>
          </w:tcPr>
          <w:p>
            <w:pPr>
              <w:pStyle w:val="18"/>
            </w:pPr>
            <w:r>
              <w:t>2</w:t>
            </w:r>
          </w:p>
        </w:tc>
        <w:tc>
          <w:tcPr>
            <w:tcW w:w="3326" w:type="dxa"/>
            <w:noWrap w:val="0"/>
            <w:vAlign w:val="center"/>
          </w:tcPr>
          <w:p>
            <w:pPr>
              <w:pStyle w:val="18"/>
            </w:pPr>
            <w:r>
              <w:t>单组尺寸Φ20×3.5m</w:t>
            </w:r>
          </w:p>
          <w:p>
            <w:pPr>
              <w:pStyle w:val="18"/>
            </w:pPr>
            <w:r>
              <w:t>钢筋砼结构，半地下式</w:t>
            </w:r>
          </w:p>
        </w:tc>
        <w:tc>
          <w:tcPr>
            <w:tcW w:w="2054" w:type="dxa"/>
            <w:gridSpan w:val="2"/>
            <w:noWrap w:val="0"/>
            <w:vAlign w:val="center"/>
          </w:tcPr>
          <w:p>
            <w:pPr>
              <w:pStyle w:val="18"/>
            </w:pPr>
            <w:r>
              <w:t>设计流量Q=0.12m³/s</w:t>
            </w:r>
          </w:p>
          <w:p>
            <w:pPr>
              <w:pStyle w:val="18"/>
            </w:pPr>
            <w:r>
              <w:t>表面负荷0.82m³/㎡·h</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8</w:t>
            </w:r>
          </w:p>
        </w:tc>
        <w:tc>
          <w:tcPr>
            <w:tcW w:w="1577" w:type="dxa"/>
            <w:noWrap w:val="0"/>
            <w:vAlign w:val="center"/>
          </w:tcPr>
          <w:p>
            <w:pPr>
              <w:pStyle w:val="18"/>
            </w:pPr>
            <w:r>
              <w:t>紫外消毒计量池及仪器间</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6" w:type="dxa"/>
            <w:noWrap w:val="0"/>
            <w:vAlign w:val="center"/>
          </w:tcPr>
          <w:p>
            <w:pPr>
              <w:pStyle w:val="18"/>
            </w:pPr>
            <w:r>
              <w:t>12×2.5×2.5m</w:t>
            </w:r>
          </w:p>
          <w:p>
            <w:pPr>
              <w:pStyle w:val="18"/>
            </w:pPr>
            <w:r>
              <w:t>钢筋砼结构，半地下式</w:t>
            </w:r>
          </w:p>
          <w:p>
            <w:pPr>
              <w:pStyle w:val="18"/>
            </w:pPr>
            <w:r>
              <w:t>仪器间4×3×3.3m</w:t>
            </w:r>
          </w:p>
        </w:tc>
        <w:tc>
          <w:tcPr>
            <w:tcW w:w="2054" w:type="dxa"/>
            <w:gridSpan w:val="2"/>
            <w:noWrap w:val="0"/>
            <w:vAlign w:val="center"/>
          </w:tcPr>
          <w:p>
            <w:pPr>
              <w:pStyle w:val="18"/>
            </w:pPr>
            <w:r>
              <w:t>设计流量Q=0.12m³/s</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9</w:t>
            </w:r>
          </w:p>
        </w:tc>
        <w:tc>
          <w:tcPr>
            <w:tcW w:w="1577" w:type="dxa"/>
            <w:noWrap w:val="0"/>
            <w:vAlign w:val="center"/>
          </w:tcPr>
          <w:p>
            <w:pPr>
              <w:pStyle w:val="18"/>
            </w:pPr>
            <w:r>
              <w:t>脱水机房</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6" w:type="dxa"/>
            <w:noWrap w:val="0"/>
            <w:vAlign w:val="center"/>
          </w:tcPr>
          <w:p>
            <w:pPr>
              <w:pStyle w:val="18"/>
            </w:pPr>
            <w:r>
              <w:t>脱水机房：28×11×8.5m框架结构</w:t>
            </w:r>
          </w:p>
        </w:tc>
        <w:tc>
          <w:tcPr>
            <w:tcW w:w="2054" w:type="dxa"/>
            <w:gridSpan w:val="2"/>
            <w:noWrap w:val="0"/>
            <w:vAlign w:val="top"/>
          </w:tcPr>
          <w:p>
            <w:pPr>
              <w:pStyle w:val="18"/>
            </w:pPr>
            <w: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10</w:t>
            </w:r>
          </w:p>
        </w:tc>
        <w:tc>
          <w:tcPr>
            <w:tcW w:w="1577" w:type="dxa"/>
            <w:noWrap w:val="0"/>
            <w:vAlign w:val="center"/>
          </w:tcPr>
          <w:p>
            <w:pPr>
              <w:pStyle w:val="18"/>
            </w:pPr>
            <w:r>
              <w:t>加药间鼓风机房</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6" w:type="dxa"/>
            <w:noWrap w:val="0"/>
            <w:vAlign w:val="center"/>
          </w:tcPr>
          <w:p>
            <w:pPr>
              <w:pStyle w:val="18"/>
            </w:pPr>
            <w:r>
              <w:t>24×6×6m框架结构</w:t>
            </w:r>
          </w:p>
        </w:tc>
        <w:tc>
          <w:tcPr>
            <w:tcW w:w="2054" w:type="dxa"/>
            <w:gridSpan w:val="2"/>
            <w:noWrap w:val="0"/>
            <w:vAlign w:val="top"/>
          </w:tcPr>
          <w:p>
            <w:pPr>
              <w:pStyle w:val="18"/>
            </w:pPr>
            <w: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11</w:t>
            </w:r>
          </w:p>
        </w:tc>
        <w:tc>
          <w:tcPr>
            <w:tcW w:w="1577" w:type="dxa"/>
            <w:noWrap w:val="0"/>
            <w:vAlign w:val="center"/>
          </w:tcPr>
          <w:p>
            <w:pPr>
              <w:pStyle w:val="18"/>
            </w:pPr>
            <w:r>
              <w:t>贮泥池</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6" w:type="dxa"/>
            <w:noWrap w:val="0"/>
            <w:vAlign w:val="center"/>
          </w:tcPr>
          <w:p>
            <w:pPr>
              <w:pStyle w:val="18"/>
            </w:pPr>
            <w:r>
              <w:t>7×4×5m</w:t>
            </w:r>
          </w:p>
        </w:tc>
        <w:tc>
          <w:tcPr>
            <w:tcW w:w="2054" w:type="dxa"/>
            <w:gridSpan w:val="2"/>
            <w:noWrap w:val="0"/>
            <w:vAlign w:val="center"/>
          </w:tcPr>
          <w:p>
            <w:pPr>
              <w:pStyle w:val="18"/>
            </w:pPr>
            <w:r>
              <w:t>污泥水力停留时间3h</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二</w:t>
            </w:r>
          </w:p>
        </w:tc>
        <w:tc>
          <w:tcPr>
            <w:tcW w:w="7879" w:type="dxa"/>
            <w:gridSpan w:val="7"/>
            <w:noWrap w:val="0"/>
            <w:vAlign w:val="center"/>
          </w:tcPr>
          <w:p>
            <w:pPr>
              <w:pStyle w:val="18"/>
            </w:pPr>
            <w:r>
              <w:t>辅助设备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1</w:t>
            </w:r>
          </w:p>
        </w:tc>
        <w:tc>
          <w:tcPr>
            <w:tcW w:w="1577" w:type="dxa"/>
            <w:noWrap w:val="0"/>
            <w:vAlign w:val="center"/>
          </w:tcPr>
          <w:p>
            <w:pPr>
              <w:pStyle w:val="18"/>
            </w:pPr>
            <w:r>
              <w:t>综合楼</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7" w:type="dxa"/>
            <w:gridSpan w:val="2"/>
            <w:noWrap w:val="0"/>
            <w:vAlign w:val="center"/>
          </w:tcPr>
          <w:p>
            <w:pPr>
              <w:pStyle w:val="18"/>
            </w:pPr>
            <w:r>
              <w:t>28.8×13.4×10.5m，三层</w:t>
            </w:r>
          </w:p>
        </w:tc>
        <w:tc>
          <w:tcPr>
            <w:tcW w:w="2053" w:type="dxa"/>
            <w:noWrap w:val="0"/>
            <w:vAlign w:val="top"/>
          </w:tcPr>
          <w:p>
            <w:pPr>
              <w:pStyle w:val="18"/>
            </w:pPr>
            <w:r>
              <w:t>框架结构，两期共用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2</w:t>
            </w:r>
          </w:p>
        </w:tc>
        <w:tc>
          <w:tcPr>
            <w:tcW w:w="1577" w:type="dxa"/>
            <w:noWrap w:val="0"/>
            <w:vAlign w:val="center"/>
          </w:tcPr>
          <w:p>
            <w:pPr>
              <w:pStyle w:val="18"/>
            </w:pPr>
            <w:r>
              <w:t>变配电间及机修间</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7" w:type="dxa"/>
            <w:gridSpan w:val="2"/>
            <w:noWrap w:val="0"/>
            <w:vAlign w:val="center"/>
          </w:tcPr>
          <w:p>
            <w:pPr>
              <w:pStyle w:val="18"/>
            </w:pPr>
            <w:r>
              <w:t>变配电站：23×7.5×4.6m，单层</w:t>
            </w:r>
          </w:p>
          <w:p>
            <w:pPr>
              <w:pStyle w:val="18"/>
            </w:pPr>
            <w:r>
              <w:t>机修间：6.0×11.1m，单层</w:t>
            </w:r>
          </w:p>
        </w:tc>
        <w:tc>
          <w:tcPr>
            <w:tcW w:w="2053" w:type="dxa"/>
            <w:noWrap w:val="0"/>
            <w:vAlign w:val="top"/>
          </w:tcPr>
          <w:p>
            <w:pPr>
              <w:pStyle w:val="18"/>
            </w:pPr>
            <w:r>
              <w:t>框架结构，两期共用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3</w:t>
            </w:r>
          </w:p>
        </w:tc>
        <w:tc>
          <w:tcPr>
            <w:tcW w:w="1577" w:type="dxa"/>
            <w:noWrap w:val="0"/>
            <w:vAlign w:val="center"/>
          </w:tcPr>
          <w:p>
            <w:pPr>
              <w:pStyle w:val="18"/>
            </w:pPr>
            <w:r>
              <w:t>门卫</w:t>
            </w:r>
          </w:p>
        </w:tc>
        <w:tc>
          <w:tcPr>
            <w:tcW w:w="403" w:type="dxa"/>
            <w:noWrap w:val="0"/>
            <w:vAlign w:val="center"/>
          </w:tcPr>
          <w:p>
            <w:pPr>
              <w:pStyle w:val="18"/>
            </w:pPr>
            <w:r>
              <w:t>座</w:t>
            </w:r>
          </w:p>
        </w:tc>
        <w:tc>
          <w:tcPr>
            <w:tcW w:w="519" w:type="dxa"/>
            <w:gridSpan w:val="2"/>
            <w:noWrap w:val="0"/>
            <w:vAlign w:val="center"/>
          </w:tcPr>
          <w:p>
            <w:pPr>
              <w:pStyle w:val="18"/>
            </w:pPr>
            <w:r>
              <w:t>2</w:t>
            </w:r>
          </w:p>
        </w:tc>
        <w:tc>
          <w:tcPr>
            <w:tcW w:w="3327" w:type="dxa"/>
            <w:gridSpan w:val="2"/>
            <w:noWrap w:val="0"/>
            <w:vAlign w:val="center"/>
          </w:tcPr>
          <w:p>
            <w:pPr>
              <w:pStyle w:val="18"/>
            </w:pPr>
            <w:r>
              <w:t>4.5×4.2×3.3m2，单层</w:t>
            </w:r>
          </w:p>
          <w:p>
            <w:pPr>
              <w:pStyle w:val="18"/>
            </w:pPr>
            <w:r>
              <w:t>3×3×3.3 m2，单层</w:t>
            </w:r>
          </w:p>
        </w:tc>
        <w:tc>
          <w:tcPr>
            <w:tcW w:w="2053" w:type="dxa"/>
            <w:noWrap w:val="0"/>
            <w:vAlign w:val="top"/>
          </w:tcPr>
          <w:p>
            <w:pPr>
              <w:pStyle w:val="18"/>
            </w:pPr>
            <w:r>
              <w:t>砖混结构</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455" w:type="dxa"/>
            <w:noWrap w:val="0"/>
            <w:vAlign w:val="center"/>
          </w:tcPr>
          <w:p>
            <w:pPr>
              <w:pStyle w:val="18"/>
            </w:pPr>
            <w:r>
              <w:t>6</w:t>
            </w:r>
          </w:p>
        </w:tc>
        <w:tc>
          <w:tcPr>
            <w:tcW w:w="1577" w:type="dxa"/>
            <w:noWrap w:val="0"/>
            <w:vAlign w:val="center"/>
          </w:tcPr>
          <w:p>
            <w:pPr>
              <w:pStyle w:val="18"/>
            </w:pPr>
            <w:r>
              <w:t>车棚</w:t>
            </w:r>
          </w:p>
        </w:tc>
        <w:tc>
          <w:tcPr>
            <w:tcW w:w="403" w:type="dxa"/>
            <w:noWrap w:val="0"/>
            <w:vAlign w:val="center"/>
          </w:tcPr>
          <w:p>
            <w:pPr>
              <w:pStyle w:val="18"/>
            </w:pPr>
            <w:r>
              <w:t>座</w:t>
            </w:r>
          </w:p>
        </w:tc>
        <w:tc>
          <w:tcPr>
            <w:tcW w:w="519" w:type="dxa"/>
            <w:gridSpan w:val="2"/>
            <w:noWrap w:val="0"/>
            <w:vAlign w:val="center"/>
          </w:tcPr>
          <w:p>
            <w:pPr>
              <w:pStyle w:val="18"/>
            </w:pPr>
            <w:r>
              <w:t>1</w:t>
            </w:r>
          </w:p>
        </w:tc>
        <w:tc>
          <w:tcPr>
            <w:tcW w:w="3327" w:type="dxa"/>
            <w:gridSpan w:val="2"/>
            <w:noWrap w:val="0"/>
            <w:vAlign w:val="center"/>
          </w:tcPr>
          <w:p>
            <w:pPr>
              <w:pStyle w:val="18"/>
            </w:pPr>
            <w:r>
              <w:t>24×4.5m，单层</w:t>
            </w:r>
          </w:p>
        </w:tc>
        <w:tc>
          <w:tcPr>
            <w:tcW w:w="2053" w:type="dxa"/>
            <w:noWrap w:val="0"/>
            <w:vAlign w:val="top"/>
          </w:tcPr>
          <w:p>
            <w:pPr>
              <w:pStyle w:val="18"/>
            </w:pPr>
            <w:r>
              <w:t>简易钢架</w:t>
            </w:r>
          </w:p>
        </w:tc>
      </w:tr>
    </w:tbl>
    <w:p>
      <w:pPr>
        <w:pStyle w:val="14"/>
      </w:pPr>
      <w:r>
        <w:rPr>
          <w:rFonts w:hint="eastAsia"/>
        </w:rPr>
        <w:t>工程主要设备见表</w:t>
      </w:r>
      <w:r>
        <w:rPr>
          <w:rFonts w:hint="eastAsia"/>
          <w:lang w:val="en-US" w:eastAsia="zh-CN"/>
        </w:rPr>
        <w:t>2.1-3</w:t>
      </w:r>
      <w:r>
        <w:rPr>
          <w:rFonts w:hint="eastAsia"/>
        </w:rPr>
        <w:t>。</w:t>
      </w:r>
    </w:p>
    <w:p>
      <w:pPr>
        <w:pStyle w:val="16"/>
      </w:pPr>
      <w:r>
        <w:rPr>
          <w:rFonts w:hint="eastAsia"/>
        </w:rPr>
        <w:t>表</w:t>
      </w:r>
      <w:r>
        <w:rPr>
          <w:rFonts w:hint="eastAsia"/>
          <w:lang w:val="en-US" w:eastAsia="zh-CN"/>
        </w:rPr>
        <w:t>2.1-3</w:t>
      </w:r>
      <w:r>
        <w:rPr>
          <w:rFonts w:hint="eastAsia"/>
        </w:rPr>
        <w:t xml:space="preserve">       项目主要设备选型一览表</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658"/>
        <w:gridCol w:w="1714"/>
        <w:gridCol w:w="4189"/>
        <w:gridCol w:w="556"/>
        <w:gridCol w:w="234"/>
        <w:gridCol w:w="356"/>
        <w:gridCol w:w="62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658" w:type="dxa"/>
            <w:noWrap w:val="0"/>
            <w:vAlign w:val="center"/>
          </w:tcPr>
          <w:p>
            <w:pPr>
              <w:pStyle w:val="18"/>
            </w:pPr>
            <w:bookmarkStart w:id="133" w:name="_Toc7073_WPSOffice_Level2"/>
            <w:bookmarkStart w:id="134" w:name="_Toc1041_WPSOffice_Level2"/>
            <w:bookmarkStart w:id="135" w:name="_Toc23834_WPSOffice_Level2"/>
            <w:bookmarkStart w:id="136" w:name="_Toc22652_WPSOffice_Level2"/>
            <w:bookmarkStart w:id="137" w:name="_Toc18604"/>
            <w:bookmarkStart w:id="138" w:name="_Toc29198"/>
            <w:r>
              <w:t>序号</w:t>
            </w:r>
          </w:p>
        </w:tc>
        <w:tc>
          <w:tcPr>
            <w:tcW w:w="1714" w:type="dxa"/>
            <w:noWrap w:val="0"/>
            <w:vAlign w:val="center"/>
          </w:tcPr>
          <w:p>
            <w:pPr>
              <w:pStyle w:val="18"/>
            </w:pPr>
            <w:r>
              <w:t>设备名称</w:t>
            </w:r>
          </w:p>
        </w:tc>
        <w:tc>
          <w:tcPr>
            <w:tcW w:w="4189" w:type="dxa"/>
            <w:noWrap w:val="0"/>
            <w:vAlign w:val="center"/>
          </w:tcPr>
          <w:p>
            <w:pPr>
              <w:pStyle w:val="18"/>
            </w:pPr>
            <w:r>
              <w:t>型号规格</w:t>
            </w:r>
          </w:p>
        </w:tc>
        <w:tc>
          <w:tcPr>
            <w:tcW w:w="556" w:type="dxa"/>
            <w:noWrap w:val="0"/>
            <w:vAlign w:val="center"/>
          </w:tcPr>
          <w:p>
            <w:pPr>
              <w:pStyle w:val="18"/>
            </w:pPr>
            <w:r>
              <w:t>单位</w:t>
            </w:r>
          </w:p>
        </w:tc>
        <w:tc>
          <w:tcPr>
            <w:tcW w:w="590" w:type="dxa"/>
            <w:gridSpan w:val="2"/>
            <w:noWrap w:val="0"/>
            <w:vAlign w:val="center"/>
          </w:tcPr>
          <w:p>
            <w:pPr>
              <w:pStyle w:val="18"/>
            </w:pPr>
            <w:r>
              <w:t>数量</w:t>
            </w:r>
          </w:p>
        </w:tc>
        <w:tc>
          <w:tcPr>
            <w:tcW w:w="627" w:type="dxa"/>
            <w:noWrap w:val="0"/>
            <w:vAlign w:val="center"/>
          </w:tcPr>
          <w:p>
            <w:pPr>
              <w:pStyle w:val="18"/>
            </w:pPr>
            <w:r>
              <w:t>备注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一</w:t>
            </w:r>
          </w:p>
        </w:tc>
        <w:tc>
          <w:tcPr>
            <w:tcW w:w="7676" w:type="dxa"/>
            <w:gridSpan w:val="6"/>
            <w:noWrap w:val="0"/>
            <w:vAlign w:val="center"/>
          </w:tcPr>
          <w:p>
            <w:pPr>
              <w:pStyle w:val="18"/>
            </w:pPr>
            <w:r>
              <w:t>粗格栅及提升泵站</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回转式格栅除污机</w:t>
            </w:r>
          </w:p>
        </w:tc>
        <w:tc>
          <w:tcPr>
            <w:tcW w:w="4189" w:type="dxa"/>
            <w:noWrap w:val="0"/>
            <w:vAlign w:val="center"/>
          </w:tcPr>
          <w:p>
            <w:pPr>
              <w:pStyle w:val="18"/>
            </w:pPr>
            <w:r>
              <w:t>HF-0.8单台过栅流量：Q=0.47m</w:t>
            </w:r>
            <w:r>
              <w:rPr>
                <w:vertAlign w:val="superscript"/>
              </w:rPr>
              <w:t>3</w:t>
            </w:r>
            <w:r>
              <w:t>/s</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明杆式铸铁镶铜闸门（进水闸门）</w:t>
            </w:r>
          </w:p>
        </w:tc>
        <w:tc>
          <w:tcPr>
            <w:tcW w:w="4189" w:type="dxa"/>
            <w:noWrap w:val="0"/>
            <w:vAlign w:val="center"/>
          </w:tcPr>
          <w:p>
            <w:pPr>
              <w:pStyle w:val="18"/>
            </w:pPr>
            <w:r>
              <w:t>SFZ-800×800，闸板800×800（配套手、电两用启闭机）</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明杆式铸铁镶铜闸门（出水闸门）</w:t>
            </w:r>
          </w:p>
        </w:tc>
        <w:tc>
          <w:tcPr>
            <w:tcW w:w="4189" w:type="dxa"/>
            <w:noWrap w:val="0"/>
            <w:vAlign w:val="center"/>
          </w:tcPr>
          <w:p>
            <w:pPr>
              <w:pStyle w:val="18"/>
            </w:pPr>
            <w:r>
              <w:t>SFZ-800×800，闸板800×800（配套手用启闭机）</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4</w:t>
            </w:r>
          </w:p>
        </w:tc>
        <w:tc>
          <w:tcPr>
            <w:tcW w:w="1714" w:type="dxa"/>
            <w:noWrap w:val="0"/>
            <w:vAlign w:val="center"/>
          </w:tcPr>
          <w:p>
            <w:pPr>
              <w:pStyle w:val="18"/>
            </w:pPr>
            <w:r>
              <w:t>明杆式铸铁镶铜闸门（溢流闸门）</w:t>
            </w:r>
          </w:p>
        </w:tc>
        <w:tc>
          <w:tcPr>
            <w:tcW w:w="4189" w:type="dxa"/>
            <w:noWrap w:val="0"/>
            <w:vAlign w:val="center"/>
          </w:tcPr>
          <w:p>
            <w:pPr>
              <w:pStyle w:val="18"/>
            </w:pPr>
            <w:r>
              <w:t>SFZ-600，闸板Φ800（配套手用启闭机）</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5</w:t>
            </w:r>
          </w:p>
        </w:tc>
        <w:tc>
          <w:tcPr>
            <w:tcW w:w="1714" w:type="dxa"/>
            <w:noWrap w:val="0"/>
            <w:vAlign w:val="center"/>
          </w:tcPr>
          <w:p>
            <w:pPr>
              <w:pStyle w:val="18"/>
            </w:pPr>
            <w:r>
              <w:t>电动葫芦</w:t>
            </w:r>
          </w:p>
        </w:tc>
        <w:tc>
          <w:tcPr>
            <w:tcW w:w="4189" w:type="dxa"/>
            <w:noWrap w:val="0"/>
            <w:vAlign w:val="center"/>
          </w:tcPr>
          <w:p>
            <w:pPr>
              <w:pStyle w:val="18"/>
            </w:pPr>
            <w:r>
              <w:t>1吨，H=9m，功率 1.7KW</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6</w:t>
            </w:r>
          </w:p>
        </w:tc>
        <w:tc>
          <w:tcPr>
            <w:tcW w:w="1714" w:type="dxa"/>
            <w:noWrap w:val="0"/>
            <w:vAlign w:val="center"/>
          </w:tcPr>
          <w:p>
            <w:pPr>
              <w:pStyle w:val="18"/>
            </w:pPr>
            <w:r>
              <w:t>潜污泵</w:t>
            </w:r>
          </w:p>
        </w:tc>
        <w:tc>
          <w:tcPr>
            <w:tcW w:w="4189" w:type="dxa"/>
            <w:noWrap w:val="0"/>
            <w:vAlign w:val="center"/>
          </w:tcPr>
          <w:p>
            <w:pPr>
              <w:pStyle w:val="18"/>
            </w:pPr>
            <w:r>
              <w:t>250QW420-12-22，Q=420m</w:t>
            </w:r>
            <w:r>
              <w:rPr>
                <w:vertAlign w:val="superscript"/>
              </w:rPr>
              <w:t>3</w:t>
            </w:r>
            <w:r>
              <w:t>/h，H=12m，N=22Kw</w:t>
            </w:r>
          </w:p>
        </w:tc>
        <w:tc>
          <w:tcPr>
            <w:tcW w:w="556" w:type="dxa"/>
            <w:noWrap w:val="0"/>
            <w:vAlign w:val="center"/>
          </w:tcPr>
          <w:p>
            <w:pPr>
              <w:pStyle w:val="18"/>
            </w:pPr>
            <w:r>
              <w:t>台</w:t>
            </w:r>
          </w:p>
        </w:tc>
        <w:tc>
          <w:tcPr>
            <w:tcW w:w="590" w:type="dxa"/>
            <w:gridSpan w:val="2"/>
            <w:noWrap w:val="0"/>
            <w:vAlign w:val="center"/>
          </w:tcPr>
          <w:p>
            <w:pPr>
              <w:pStyle w:val="18"/>
            </w:pPr>
            <w:r>
              <w:t>3</w:t>
            </w:r>
          </w:p>
        </w:tc>
        <w:tc>
          <w:tcPr>
            <w:tcW w:w="627" w:type="dxa"/>
            <w:noWrap w:val="0"/>
            <w:vAlign w:val="center"/>
          </w:tcPr>
          <w:p>
            <w:pPr>
              <w:pStyle w:val="18"/>
            </w:pPr>
            <w:r>
              <w:t>一期使用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7</w:t>
            </w:r>
          </w:p>
        </w:tc>
        <w:tc>
          <w:tcPr>
            <w:tcW w:w="1714" w:type="dxa"/>
            <w:noWrap w:val="0"/>
            <w:vAlign w:val="center"/>
          </w:tcPr>
          <w:p>
            <w:pPr>
              <w:pStyle w:val="18"/>
            </w:pPr>
            <w:r>
              <w:t>运渣小车</w:t>
            </w:r>
          </w:p>
        </w:tc>
        <w:tc>
          <w:tcPr>
            <w:tcW w:w="4189" w:type="dxa"/>
            <w:noWrap w:val="0"/>
            <w:vAlign w:val="center"/>
          </w:tcPr>
          <w:p>
            <w:pPr>
              <w:pStyle w:val="18"/>
            </w:pPr>
            <w:r>
              <w:t>V=0.5m3</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二</w:t>
            </w:r>
          </w:p>
        </w:tc>
        <w:tc>
          <w:tcPr>
            <w:tcW w:w="7676" w:type="dxa"/>
            <w:gridSpan w:val="6"/>
            <w:noWrap w:val="0"/>
            <w:vAlign w:val="center"/>
          </w:tcPr>
          <w:p>
            <w:pPr>
              <w:pStyle w:val="18"/>
            </w:pPr>
            <w:r>
              <w:t>细格栅及旋流沉砂池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回转式格栅除污机</w:t>
            </w:r>
          </w:p>
        </w:tc>
        <w:tc>
          <w:tcPr>
            <w:tcW w:w="4189" w:type="dxa"/>
            <w:noWrap w:val="0"/>
            <w:vAlign w:val="center"/>
          </w:tcPr>
          <w:p>
            <w:pPr>
              <w:pStyle w:val="18"/>
            </w:pPr>
            <w:r>
              <w:t>HF-0.8，B=700mm，Q=0.3 m</w:t>
            </w:r>
            <w:r>
              <w:rPr>
                <w:vertAlign w:val="superscript"/>
              </w:rPr>
              <w:t>3</w:t>
            </w:r>
            <w:r>
              <w:t>/s，H=1000mm N=0.55kW 安装角度75°</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无轴螺旋输送机</w:t>
            </w:r>
          </w:p>
        </w:tc>
        <w:tc>
          <w:tcPr>
            <w:tcW w:w="4189" w:type="dxa"/>
            <w:noWrap w:val="0"/>
            <w:vAlign w:val="center"/>
          </w:tcPr>
          <w:p>
            <w:pPr>
              <w:pStyle w:val="18"/>
            </w:pPr>
            <w:r>
              <w:t>WLS-220，Q=3 m</w:t>
            </w:r>
            <w:r>
              <w:rPr>
                <w:vertAlign w:val="superscript"/>
              </w:rPr>
              <w:t>3</w:t>
            </w:r>
            <w:r>
              <w:t>/h，Ф=220mm，L=5000mm N=1.5 kW，安装角度0°</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进水闸门</w:t>
            </w:r>
          </w:p>
        </w:tc>
        <w:tc>
          <w:tcPr>
            <w:tcW w:w="4189" w:type="dxa"/>
            <w:noWrap w:val="0"/>
            <w:vAlign w:val="center"/>
          </w:tcPr>
          <w:p>
            <w:pPr>
              <w:pStyle w:val="18"/>
            </w:pPr>
            <w:r>
              <w:t>渠装钢制闸门（配套手动启闭机），CBZ-800×1200碳钢防腐</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4</w:t>
            </w:r>
          </w:p>
        </w:tc>
        <w:tc>
          <w:tcPr>
            <w:tcW w:w="1714" w:type="dxa"/>
            <w:noWrap w:val="0"/>
            <w:vAlign w:val="center"/>
          </w:tcPr>
          <w:p>
            <w:pPr>
              <w:pStyle w:val="18"/>
            </w:pPr>
            <w:r>
              <w:t>沉砂池搅拌机</w:t>
            </w:r>
          </w:p>
        </w:tc>
        <w:tc>
          <w:tcPr>
            <w:tcW w:w="4189" w:type="dxa"/>
            <w:noWrap w:val="0"/>
            <w:vAlign w:val="center"/>
          </w:tcPr>
          <w:p>
            <w:pPr>
              <w:pStyle w:val="18"/>
            </w:pPr>
            <w:r>
              <w:t>立式桨叶搅拌机，叶轮转速12~20r/min，1.1kW，池径2430mm</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r>
              <w:t>间歇运行</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5</w:t>
            </w:r>
          </w:p>
        </w:tc>
        <w:tc>
          <w:tcPr>
            <w:tcW w:w="1714" w:type="dxa"/>
            <w:noWrap w:val="0"/>
            <w:vAlign w:val="center"/>
          </w:tcPr>
          <w:p>
            <w:pPr>
              <w:pStyle w:val="18"/>
            </w:pPr>
            <w:r>
              <w:t>砂水分离器</w:t>
            </w:r>
          </w:p>
        </w:tc>
        <w:tc>
          <w:tcPr>
            <w:tcW w:w="4189" w:type="dxa"/>
            <w:noWrap w:val="0"/>
            <w:vAlign w:val="center"/>
          </w:tcPr>
          <w:p>
            <w:pPr>
              <w:pStyle w:val="18"/>
            </w:pPr>
            <w:r>
              <w:t>螺旋式SF220 Q=18～43m</w:t>
            </w:r>
            <w:r>
              <w:rPr>
                <w:vertAlign w:val="superscript"/>
              </w:rPr>
              <w:t>3</w:t>
            </w:r>
            <w:r>
              <w:t>/h N=0.37kW</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6</w:t>
            </w:r>
          </w:p>
        </w:tc>
        <w:tc>
          <w:tcPr>
            <w:tcW w:w="1714" w:type="dxa"/>
            <w:noWrap w:val="0"/>
            <w:vAlign w:val="center"/>
          </w:tcPr>
          <w:p>
            <w:pPr>
              <w:pStyle w:val="18"/>
            </w:pPr>
            <w:r>
              <w:t>排砂鼓风机</w:t>
            </w:r>
          </w:p>
        </w:tc>
        <w:tc>
          <w:tcPr>
            <w:tcW w:w="4189" w:type="dxa"/>
            <w:noWrap w:val="0"/>
            <w:vAlign w:val="center"/>
          </w:tcPr>
          <w:p>
            <w:pPr>
              <w:pStyle w:val="18"/>
            </w:pPr>
            <w:r>
              <w:t>成组型罗茨风机Q=2.08m</w:t>
            </w:r>
            <w:r>
              <w:rPr>
                <w:vertAlign w:val="superscript"/>
              </w:rPr>
              <w:t>3</w:t>
            </w:r>
            <w:r>
              <w:t>/min 49KPa N=4.0kW</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7</w:t>
            </w:r>
          </w:p>
        </w:tc>
        <w:tc>
          <w:tcPr>
            <w:tcW w:w="1714" w:type="dxa"/>
            <w:noWrap w:val="0"/>
            <w:vAlign w:val="center"/>
          </w:tcPr>
          <w:p>
            <w:pPr>
              <w:pStyle w:val="18"/>
            </w:pPr>
            <w:r>
              <w:t>出水闸门</w:t>
            </w:r>
          </w:p>
        </w:tc>
        <w:tc>
          <w:tcPr>
            <w:tcW w:w="4189" w:type="dxa"/>
            <w:noWrap w:val="0"/>
            <w:vAlign w:val="center"/>
          </w:tcPr>
          <w:p>
            <w:pPr>
              <w:pStyle w:val="18"/>
            </w:pPr>
            <w:r>
              <w:t>渠装钢制闸门（配套手动启闭机），CBZ-900×1200，900×1200mm，碳钢防腐</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三</w:t>
            </w:r>
          </w:p>
        </w:tc>
        <w:tc>
          <w:tcPr>
            <w:tcW w:w="7676" w:type="dxa"/>
            <w:gridSpan w:val="6"/>
            <w:noWrap w:val="0"/>
            <w:vAlign w:val="center"/>
          </w:tcPr>
          <w:p>
            <w:pPr>
              <w:pStyle w:val="18"/>
            </w:pPr>
            <w:r>
              <w:t>调节事故池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调节池提升泵</w:t>
            </w:r>
          </w:p>
        </w:tc>
        <w:tc>
          <w:tcPr>
            <w:tcW w:w="4189" w:type="dxa"/>
            <w:noWrap w:val="0"/>
            <w:vAlign w:val="center"/>
          </w:tcPr>
          <w:p>
            <w:pPr>
              <w:pStyle w:val="18"/>
            </w:pPr>
            <w:r>
              <w:t>WL2210-476，Q=250m</w:t>
            </w:r>
            <w:r>
              <w:rPr>
                <w:vertAlign w:val="superscript"/>
              </w:rPr>
              <w:t>3</w:t>
            </w:r>
            <w:r>
              <w:t>/h，H=8.0m，N=7.5kW，立式排污泵</w:t>
            </w:r>
          </w:p>
        </w:tc>
        <w:tc>
          <w:tcPr>
            <w:tcW w:w="556" w:type="dxa"/>
            <w:noWrap w:val="0"/>
            <w:vAlign w:val="center"/>
          </w:tcPr>
          <w:p>
            <w:pPr>
              <w:pStyle w:val="18"/>
            </w:pPr>
            <w:r>
              <w:t>台</w:t>
            </w:r>
          </w:p>
        </w:tc>
        <w:tc>
          <w:tcPr>
            <w:tcW w:w="590" w:type="dxa"/>
            <w:gridSpan w:val="2"/>
            <w:noWrap w:val="0"/>
            <w:vAlign w:val="center"/>
          </w:tcPr>
          <w:p>
            <w:pPr>
              <w:pStyle w:val="18"/>
            </w:pPr>
            <w:r>
              <w:t>3</w:t>
            </w:r>
          </w:p>
        </w:tc>
        <w:tc>
          <w:tcPr>
            <w:tcW w:w="627" w:type="dxa"/>
            <w:noWrap w:val="0"/>
            <w:vAlign w:val="center"/>
          </w:tcPr>
          <w:p>
            <w:pPr>
              <w:pStyle w:val="18"/>
            </w:pPr>
            <w:r>
              <w:t>两用一备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事故池提升泵</w:t>
            </w:r>
          </w:p>
        </w:tc>
        <w:tc>
          <w:tcPr>
            <w:tcW w:w="4189" w:type="dxa"/>
            <w:noWrap w:val="0"/>
            <w:vAlign w:val="center"/>
          </w:tcPr>
          <w:p>
            <w:pPr>
              <w:pStyle w:val="18"/>
            </w:pPr>
            <w:r>
              <w:t>WL2120-249，Q=20m</w:t>
            </w:r>
            <w:r>
              <w:rPr>
                <w:vertAlign w:val="superscript"/>
              </w:rPr>
              <w:t>3</w:t>
            </w:r>
            <w:r>
              <w:t>/h，H=10m，N=1.1kW，立式排污泵</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潜水推流器</w:t>
            </w:r>
          </w:p>
        </w:tc>
        <w:tc>
          <w:tcPr>
            <w:tcW w:w="4189" w:type="dxa"/>
            <w:noWrap w:val="0"/>
            <w:vAlign w:val="center"/>
          </w:tcPr>
          <w:p>
            <w:pPr>
              <w:pStyle w:val="18"/>
            </w:pPr>
            <w:r>
              <w:t>LFPH5/4-1800-51，Ф1800mm，n=51rpm，N=5Kw，叶轮采取聚氨酯材料</w:t>
            </w:r>
          </w:p>
        </w:tc>
        <w:tc>
          <w:tcPr>
            <w:tcW w:w="556" w:type="dxa"/>
            <w:noWrap w:val="0"/>
            <w:vAlign w:val="center"/>
          </w:tcPr>
          <w:p>
            <w:pPr>
              <w:pStyle w:val="18"/>
            </w:pPr>
            <w:r>
              <w:t>台</w:t>
            </w:r>
          </w:p>
        </w:tc>
        <w:tc>
          <w:tcPr>
            <w:tcW w:w="590" w:type="dxa"/>
            <w:gridSpan w:val="2"/>
            <w:noWrap w:val="0"/>
            <w:vAlign w:val="center"/>
          </w:tcPr>
          <w:p>
            <w:pPr>
              <w:pStyle w:val="18"/>
            </w:pPr>
            <w:r>
              <w:t>4</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4</w:t>
            </w:r>
          </w:p>
        </w:tc>
        <w:tc>
          <w:tcPr>
            <w:tcW w:w="1714" w:type="dxa"/>
            <w:noWrap w:val="0"/>
            <w:vAlign w:val="center"/>
          </w:tcPr>
          <w:p>
            <w:pPr>
              <w:pStyle w:val="18"/>
            </w:pPr>
            <w:r>
              <w:t>集水池坑提升泵</w:t>
            </w:r>
          </w:p>
        </w:tc>
        <w:tc>
          <w:tcPr>
            <w:tcW w:w="4189" w:type="dxa"/>
            <w:noWrap w:val="0"/>
            <w:vAlign w:val="center"/>
          </w:tcPr>
          <w:p>
            <w:pPr>
              <w:pStyle w:val="18"/>
            </w:pPr>
            <w:r>
              <w:t>WQ10-10-1，Q=10m</w:t>
            </w:r>
            <w:r>
              <w:rPr>
                <w:vertAlign w:val="superscript"/>
              </w:rPr>
              <w:t>3</w:t>
            </w:r>
            <w:r>
              <w:t>/h，H=10m ，N=1.0Kw，潜污泵</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5</w:t>
            </w:r>
          </w:p>
        </w:tc>
        <w:tc>
          <w:tcPr>
            <w:tcW w:w="1714" w:type="dxa"/>
            <w:noWrap w:val="0"/>
            <w:vAlign w:val="center"/>
          </w:tcPr>
          <w:p>
            <w:pPr>
              <w:pStyle w:val="18"/>
            </w:pPr>
            <w:r>
              <w:t>进水闸门</w:t>
            </w:r>
          </w:p>
        </w:tc>
        <w:tc>
          <w:tcPr>
            <w:tcW w:w="4189" w:type="dxa"/>
            <w:noWrap w:val="0"/>
            <w:vAlign w:val="center"/>
          </w:tcPr>
          <w:p>
            <w:pPr>
              <w:pStyle w:val="18"/>
            </w:pPr>
            <w:r>
              <w:t>铸铁镶铜闸门（配套手动启闭机），SFZ-500×500，闸门尺寸：500×500mm，铸铁镶铜</w:t>
            </w:r>
          </w:p>
        </w:tc>
        <w:tc>
          <w:tcPr>
            <w:tcW w:w="556" w:type="dxa"/>
            <w:noWrap w:val="0"/>
            <w:vAlign w:val="center"/>
          </w:tcPr>
          <w:p>
            <w:pPr>
              <w:pStyle w:val="18"/>
            </w:pPr>
            <w:r>
              <w:t>台</w:t>
            </w:r>
          </w:p>
        </w:tc>
        <w:tc>
          <w:tcPr>
            <w:tcW w:w="590" w:type="dxa"/>
            <w:gridSpan w:val="2"/>
            <w:noWrap w:val="0"/>
            <w:vAlign w:val="center"/>
          </w:tcPr>
          <w:p>
            <w:pPr>
              <w:pStyle w:val="18"/>
            </w:pPr>
            <w:r>
              <w:t>3</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6</w:t>
            </w:r>
          </w:p>
        </w:tc>
        <w:tc>
          <w:tcPr>
            <w:tcW w:w="1714" w:type="dxa"/>
            <w:noWrap w:val="0"/>
            <w:vAlign w:val="center"/>
          </w:tcPr>
          <w:p>
            <w:pPr>
              <w:pStyle w:val="18"/>
            </w:pPr>
            <w:r>
              <w:t>联通闸门</w:t>
            </w:r>
          </w:p>
        </w:tc>
        <w:tc>
          <w:tcPr>
            <w:tcW w:w="4189" w:type="dxa"/>
            <w:noWrap w:val="0"/>
            <w:vAlign w:val="center"/>
          </w:tcPr>
          <w:p>
            <w:pPr>
              <w:pStyle w:val="18"/>
            </w:pPr>
            <w:r>
              <w:t>铸铁镶铜闸门（配套手动启闭机），SYZ-500，闸门尺寸：Ф500mm，铸铁镶铜</w:t>
            </w:r>
          </w:p>
        </w:tc>
        <w:tc>
          <w:tcPr>
            <w:tcW w:w="556" w:type="dxa"/>
            <w:noWrap w:val="0"/>
            <w:vAlign w:val="center"/>
          </w:tcPr>
          <w:p>
            <w:pPr>
              <w:pStyle w:val="18"/>
            </w:pPr>
            <w:r>
              <w:t>台</w:t>
            </w:r>
          </w:p>
        </w:tc>
        <w:tc>
          <w:tcPr>
            <w:tcW w:w="590" w:type="dxa"/>
            <w:gridSpan w:val="2"/>
            <w:noWrap w:val="0"/>
            <w:vAlign w:val="center"/>
          </w:tcPr>
          <w:p>
            <w:pPr>
              <w:pStyle w:val="18"/>
            </w:pPr>
            <w:r>
              <w:t>3</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四</w:t>
            </w:r>
          </w:p>
        </w:tc>
        <w:tc>
          <w:tcPr>
            <w:tcW w:w="7676" w:type="dxa"/>
            <w:gridSpan w:val="6"/>
            <w:noWrap w:val="0"/>
            <w:vAlign w:val="center"/>
          </w:tcPr>
          <w:p>
            <w:pPr>
              <w:pStyle w:val="18"/>
            </w:pPr>
            <w:r>
              <w:t>混凝沉淀池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进水闸门</w:t>
            </w:r>
          </w:p>
        </w:tc>
        <w:tc>
          <w:tcPr>
            <w:tcW w:w="4189" w:type="dxa"/>
            <w:noWrap w:val="0"/>
            <w:vAlign w:val="center"/>
          </w:tcPr>
          <w:p>
            <w:pPr>
              <w:pStyle w:val="18"/>
            </w:pPr>
            <w:r>
              <w:t>铸铁直动式堰门（配套手动启闭机），TY-800×500-750，闸板尺寸：800×500mm，铸铁镶铜</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中和搅拌机</w:t>
            </w:r>
          </w:p>
        </w:tc>
        <w:tc>
          <w:tcPr>
            <w:tcW w:w="4189" w:type="dxa"/>
            <w:noWrap w:val="0"/>
            <w:vAlign w:val="center"/>
          </w:tcPr>
          <w:p>
            <w:pPr>
              <w:pStyle w:val="18"/>
            </w:pPr>
            <w:r>
              <w:t>折叶桨式搅拌机，JBJ-600，Ф600mm双层，n=60rpm，N=1.5kW，碳钢防腐</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混合搅拌机</w:t>
            </w:r>
          </w:p>
        </w:tc>
        <w:tc>
          <w:tcPr>
            <w:tcW w:w="4189" w:type="dxa"/>
            <w:noWrap w:val="0"/>
            <w:vAlign w:val="center"/>
          </w:tcPr>
          <w:p>
            <w:pPr>
              <w:pStyle w:val="18"/>
            </w:pPr>
            <w:r>
              <w:t>折叶桨式搅拌机，JBJ-600，Ф600mm双层，n=60rpm，N=1.5kW，碳钢防腐</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4</w:t>
            </w:r>
          </w:p>
        </w:tc>
        <w:tc>
          <w:tcPr>
            <w:tcW w:w="1714" w:type="dxa"/>
            <w:noWrap w:val="0"/>
            <w:vAlign w:val="center"/>
          </w:tcPr>
          <w:p>
            <w:pPr>
              <w:pStyle w:val="18"/>
            </w:pPr>
            <w:r>
              <w:t>中和反应搅拌机</w:t>
            </w:r>
          </w:p>
        </w:tc>
        <w:tc>
          <w:tcPr>
            <w:tcW w:w="4189" w:type="dxa"/>
            <w:noWrap w:val="0"/>
            <w:vAlign w:val="center"/>
          </w:tcPr>
          <w:p>
            <w:pPr>
              <w:pStyle w:val="18"/>
            </w:pPr>
            <w:r>
              <w:t>折叶桨式搅拌机，JBJ-600，Ф600mm双层，n=60rpm，N=1.5kW，碳钢防腐</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tcBorders>
              <w:top w:val="single" w:color="auto" w:sz="6" w:space="0"/>
              <w:bottom w:val="single" w:color="auto" w:sz="6" w:space="0"/>
              <w:right w:val="single" w:color="auto" w:sz="6" w:space="0"/>
            </w:tcBorders>
            <w:noWrap w:val="0"/>
            <w:vAlign w:val="center"/>
          </w:tcPr>
          <w:p>
            <w:pPr>
              <w:pStyle w:val="18"/>
            </w:pPr>
            <w:r>
              <w:t>5</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pStyle w:val="18"/>
            </w:pPr>
            <w:r>
              <w:t>一级絮凝搅拌机</w:t>
            </w:r>
          </w:p>
        </w:tc>
        <w:tc>
          <w:tcPr>
            <w:tcW w:w="4189" w:type="dxa"/>
            <w:tcBorders>
              <w:top w:val="single" w:color="auto" w:sz="6" w:space="0"/>
              <w:left w:val="single" w:color="auto" w:sz="6" w:space="0"/>
              <w:bottom w:val="single" w:color="auto" w:sz="6" w:space="0"/>
              <w:right w:val="single" w:color="auto" w:sz="6" w:space="0"/>
            </w:tcBorders>
            <w:noWrap w:val="0"/>
            <w:vAlign w:val="center"/>
          </w:tcPr>
          <w:p>
            <w:pPr>
              <w:pStyle w:val="18"/>
            </w:pPr>
            <w:r>
              <w:t>板框式，单层，直径 2300mm，转速n=7.75rpm，N=0.75kW，桨叶PVC，其余钢制防腐</w:t>
            </w:r>
          </w:p>
        </w:tc>
        <w:tc>
          <w:tcPr>
            <w:tcW w:w="556" w:type="dxa"/>
            <w:tcBorders>
              <w:top w:val="single" w:color="auto" w:sz="6" w:space="0"/>
              <w:left w:val="single" w:color="auto" w:sz="6" w:space="0"/>
              <w:bottom w:val="single" w:color="auto" w:sz="6" w:space="0"/>
              <w:right w:val="single" w:color="auto" w:sz="6" w:space="0"/>
            </w:tcBorders>
            <w:noWrap w:val="0"/>
            <w:vAlign w:val="center"/>
          </w:tcPr>
          <w:p>
            <w:pPr>
              <w:pStyle w:val="18"/>
            </w:pPr>
            <w:r>
              <w:t>台</w:t>
            </w:r>
          </w:p>
        </w:tc>
        <w:tc>
          <w:tcPr>
            <w:tcW w:w="590" w:type="dxa"/>
            <w:gridSpan w:val="2"/>
            <w:tcBorders>
              <w:top w:val="single" w:color="auto" w:sz="6" w:space="0"/>
              <w:left w:val="single" w:color="auto" w:sz="6" w:space="0"/>
              <w:bottom w:val="single" w:color="auto" w:sz="6" w:space="0"/>
              <w:right w:val="single" w:color="auto" w:sz="6" w:space="0"/>
            </w:tcBorders>
            <w:noWrap w:val="0"/>
            <w:vAlign w:val="center"/>
          </w:tcPr>
          <w:p>
            <w:pPr>
              <w:pStyle w:val="18"/>
            </w:pPr>
            <w:r>
              <w:t>2</w:t>
            </w:r>
          </w:p>
        </w:tc>
        <w:tc>
          <w:tcPr>
            <w:tcW w:w="627" w:type="dxa"/>
            <w:tcBorders>
              <w:top w:val="single" w:color="auto" w:sz="6" w:space="0"/>
              <w:left w:val="single" w:color="auto" w:sz="6" w:space="0"/>
              <w:bottom w:val="single" w:color="auto" w:sz="6" w:space="0"/>
            </w:tcBorders>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tcBorders>
              <w:top w:val="single" w:color="auto" w:sz="6" w:space="0"/>
              <w:bottom w:val="single" w:color="auto" w:sz="6" w:space="0"/>
              <w:right w:val="single" w:color="auto" w:sz="6" w:space="0"/>
            </w:tcBorders>
            <w:noWrap w:val="0"/>
            <w:vAlign w:val="center"/>
          </w:tcPr>
          <w:p>
            <w:pPr>
              <w:pStyle w:val="18"/>
            </w:pPr>
            <w:r>
              <w:t>6</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pStyle w:val="18"/>
            </w:pPr>
            <w:r>
              <w:t>二级絮凝搅拌机</w:t>
            </w:r>
          </w:p>
        </w:tc>
        <w:tc>
          <w:tcPr>
            <w:tcW w:w="4189" w:type="dxa"/>
            <w:tcBorders>
              <w:top w:val="single" w:color="auto" w:sz="6" w:space="0"/>
              <w:left w:val="single" w:color="auto" w:sz="6" w:space="0"/>
              <w:bottom w:val="single" w:color="auto" w:sz="6" w:space="0"/>
              <w:right w:val="single" w:color="auto" w:sz="6" w:space="0"/>
            </w:tcBorders>
            <w:noWrap w:val="0"/>
            <w:vAlign w:val="center"/>
          </w:tcPr>
          <w:p>
            <w:pPr>
              <w:pStyle w:val="18"/>
            </w:pPr>
            <w:r>
              <w:t>板框式，单层，直径 2500mm，转速n=5.02rpm，N=0.55kW，桨叶PVC，其余钢制防腐</w:t>
            </w:r>
          </w:p>
        </w:tc>
        <w:tc>
          <w:tcPr>
            <w:tcW w:w="556" w:type="dxa"/>
            <w:tcBorders>
              <w:top w:val="single" w:color="auto" w:sz="6" w:space="0"/>
              <w:left w:val="single" w:color="auto" w:sz="6" w:space="0"/>
              <w:bottom w:val="single" w:color="auto" w:sz="6" w:space="0"/>
              <w:right w:val="single" w:color="auto" w:sz="6" w:space="0"/>
            </w:tcBorders>
            <w:noWrap w:val="0"/>
            <w:vAlign w:val="center"/>
          </w:tcPr>
          <w:p>
            <w:pPr>
              <w:pStyle w:val="18"/>
            </w:pPr>
            <w:r>
              <w:t>台</w:t>
            </w:r>
          </w:p>
        </w:tc>
        <w:tc>
          <w:tcPr>
            <w:tcW w:w="590" w:type="dxa"/>
            <w:gridSpan w:val="2"/>
            <w:tcBorders>
              <w:top w:val="single" w:color="auto" w:sz="6" w:space="0"/>
              <w:left w:val="single" w:color="auto" w:sz="6" w:space="0"/>
              <w:bottom w:val="single" w:color="auto" w:sz="6" w:space="0"/>
              <w:right w:val="single" w:color="auto" w:sz="6" w:space="0"/>
            </w:tcBorders>
            <w:noWrap w:val="0"/>
            <w:vAlign w:val="center"/>
          </w:tcPr>
          <w:p>
            <w:pPr>
              <w:pStyle w:val="18"/>
            </w:pPr>
            <w:r>
              <w:t>2</w:t>
            </w:r>
          </w:p>
        </w:tc>
        <w:tc>
          <w:tcPr>
            <w:tcW w:w="627" w:type="dxa"/>
            <w:tcBorders>
              <w:top w:val="single" w:color="auto" w:sz="6" w:space="0"/>
              <w:left w:val="single" w:color="auto" w:sz="6" w:space="0"/>
              <w:bottom w:val="single" w:color="auto" w:sz="6" w:space="0"/>
            </w:tcBorders>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tcBorders>
              <w:top w:val="single" w:color="auto" w:sz="6" w:space="0"/>
              <w:bottom w:val="single" w:color="auto" w:sz="6" w:space="0"/>
              <w:right w:val="single" w:color="auto" w:sz="6" w:space="0"/>
            </w:tcBorders>
            <w:noWrap w:val="0"/>
            <w:vAlign w:val="center"/>
          </w:tcPr>
          <w:p>
            <w:pPr>
              <w:pStyle w:val="18"/>
            </w:pPr>
            <w:r>
              <w:t>7</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pStyle w:val="18"/>
            </w:pPr>
            <w:r>
              <w:t>三级絮凝搅拌机</w:t>
            </w:r>
          </w:p>
        </w:tc>
        <w:tc>
          <w:tcPr>
            <w:tcW w:w="4189" w:type="dxa"/>
            <w:tcBorders>
              <w:top w:val="single" w:color="auto" w:sz="6" w:space="0"/>
              <w:left w:val="single" w:color="auto" w:sz="6" w:space="0"/>
              <w:bottom w:val="single" w:color="auto" w:sz="6" w:space="0"/>
              <w:right w:val="single" w:color="auto" w:sz="6" w:space="0"/>
            </w:tcBorders>
            <w:noWrap w:val="0"/>
            <w:vAlign w:val="center"/>
          </w:tcPr>
          <w:p>
            <w:pPr>
              <w:pStyle w:val="18"/>
            </w:pPr>
            <w:r>
              <w:t>板框式，单层，直径 2500mm，n=3.71rpm，N=0.55kW，桨叶PVC，其余钢制防腐</w:t>
            </w:r>
          </w:p>
        </w:tc>
        <w:tc>
          <w:tcPr>
            <w:tcW w:w="556" w:type="dxa"/>
            <w:tcBorders>
              <w:top w:val="single" w:color="auto" w:sz="6" w:space="0"/>
              <w:left w:val="single" w:color="auto" w:sz="6" w:space="0"/>
              <w:bottom w:val="single" w:color="auto" w:sz="6" w:space="0"/>
              <w:right w:val="single" w:color="auto" w:sz="6" w:space="0"/>
            </w:tcBorders>
            <w:noWrap w:val="0"/>
            <w:vAlign w:val="center"/>
          </w:tcPr>
          <w:p>
            <w:pPr>
              <w:pStyle w:val="18"/>
            </w:pPr>
            <w:r>
              <w:t>台</w:t>
            </w:r>
          </w:p>
        </w:tc>
        <w:tc>
          <w:tcPr>
            <w:tcW w:w="590" w:type="dxa"/>
            <w:gridSpan w:val="2"/>
            <w:tcBorders>
              <w:top w:val="single" w:color="auto" w:sz="6" w:space="0"/>
              <w:left w:val="single" w:color="auto" w:sz="6" w:space="0"/>
              <w:bottom w:val="single" w:color="auto" w:sz="6" w:space="0"/>
              <w:right w:val="single" w:color="auto" w:sz="6" w:space="0"/>
            </w:tcBorders>
            <w:noWrap w:val="0"/>
            <w:vAlign w:val="center"/>
          </w:tcPr>
          <w:p>
            <w:pPr>
              <w:pStyle w:val="18"/>
            </w:pPr>
            <w:r>
              <w:t>2</w:t>
            </w:r>
          </w:p>
        </w:tc>
        <w:tc>
          <w:tcPr>
            <w:tcW w:w="627" w:type="dxa"/>
            <w:tcBorders>
              <w:top w:val="single" w:color="auto" w:sz="6" w:space="0"/>
              <w:left w:val="single" w:color="auto" w:sz="6" w:space="0"/>
              <w:bottom w:val="single" w:color="auto" w:sz="6" w:space="0"/>
            </w:tcBorders>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tcBorders>
              <w:top w:val="single" w:color="auto" w:sz="6" w:space="0"/>
              <w:bottom w:val="single" w:color="auto" w:sz="6" w:space="0"/>
              <w:right w:val="single" w:color="auto" w:sz="6" w:space="0"/>
            </w:tcBorders>
            <w:noWrap w:val="0"/>
            <w:vAlign w:val="center"/>
          </w:tcPr>
          <w:p>
            <w:pPr>
              <w:pStyle w:val="18"/>
            </w:pPr>
            <w:r>
              <w:t>8</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pStyle w:val="18"/>
            </w:pPr>
            <w:r>
              <w:t>填料</w:t>
            </w:r>
          </w:p>
        </w:tc>
        <w:tc>
          <w:tcPr>
            <w:tcW w:w="4189" w:type="dxa"/>
            <w:tcBorders>
              <w:top w:val="single" w:color="auto" w:sz="6" w:space="0"/>
              <w:left w:val="single" w:color="auto" w:sz="6" w:space="0"/>
              <w:bottom w:val="single" w:color="auto" w:sz="6" w:space="0"/>
              <w:right w:val="single" w:color="auto" w:sz="6" w:space="0"/>
            </w:tcBorders>
            <w:noWrap w:val="0"/>
            <w:vAlign w:val="center"/>
          </w:tcPr>
          <w:p>
            <w:pPr>
              <w:pStyle w:val="18"/>
            </w:pPr>
            <w:r>
              <w:t>斜板填料板间距80mm，斜长1000mm，PVC材质</w:t>
            </w:r>
          </w:p>
        </w:tc>
        <w:tc>
          <w:tcPr>
            <w:tcW w:w="556" w:type="dxa"/>
            <w:tcBorders>
              <w:top w:val="single" w:color="auto" w:sz="6" w:space="0"/>
              <w:left w:val="single" w:color="auto" w:sz="6" w:space="0"/>
              <w:bottom w:val="single" w:color="auto" w:sz="6" w:space="0"/>
              <w:right w:val="single" w:color="auto" w:sz="6" w:space="0"/>
            </w:tcBorders>
            <w:noWrap w:val="0"/>
            <w:vAlign w:val="center"/>
          </w:tcPr>
          <w:p>
            <w:pPr>
              <w:pStyle w:val="18"/>
            </w:pPr>
            <w:r>
              <w:t>㎡</w:t>
            </w:r>
          </w:p>
        </w:tc>
        <w:tc>
          <w:tcPr>
            <w:tcW w:w="590" w:type="dxa"/>
            <w:gridSpan w:val="2"/>
            <w:tcBorders>
              <w:top w:val="single" w:color="auto" w:sz="6" w:space="0"/>
              <w:left w:val="single" w:color="auto" w:sz="6" w:space="0"/>
              <w:bottom w:val="single" w:color="auto" w:sz="6" w:space="0"/>
              <w:right w:val="single" w:color="auto" w:sz="6" w:space="0"/>
            </w:tcBorders>
            <w:noWrap w:val="0"/>
            <w:vAlign w:val="center"/>
          </w:tcPr>
          <w:p>
            <w:pPr>
              <w:pStyle w:val="18"/>
            </w:pPr>
            <w:r>
              <w:t>144</w:t>
            </w:r>
          </w:p>
        </w:tc>
        <w:tc>
          <w:tcPr>
            <w:tcW w:w="627" w:type="dxa"/>
            <w:tcBorders>
              <w:top w:val="single" w:color="auto" w:sz="6" w:space="0"/>
              <w:left w:val="single" w:color="auto" w:sz="6" w:space="0"/>
              <w:bottom w:val="single" w:color="auto" w:sz="6" w:space="0"/>
            </w:tcBorders>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tcBorders>
              <w:top w:val="single" w:color="auto" w:sz="6" w:space="0"/>
              <w:bottom w:val="single" w:color="auto" w:sz="6" w:space="0"/>
              <w:right w:val="single" w:color="auto" w:sz="6" w:space="0"/>
            </w:tcBorders>
            <w:noWrap w:val="0"/>
            <w:vAlign w:val="center"/>
          </w:tcPr>
          <w:p>
            <w:pPr>
              <w:pStyle w:val="18"/>
            </w:pPr>
            <w:r>
              <w:t>9</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pStyle w:val="18"/>
            </w:pPr>
            <w:r>
              <w:t>出水堰槽</w:t>
            </w:r>
          </w:p>
        </w:tc>
        <w:tc>
          <w:tcPr>
            <w:tcW w:w="4189" w:type="dxa"/>
            <w:tcBorders>
              <w:top w:val="single" w:color="auto" w:sz="6" w:space="0"/>
              <w:left w:val="single" w:color="auto" w:sz="6" w:space="0"/>
              <w:bottom w:val="single" w:color="auto" w:sz="6" w:space="0"/>
              <w:right w:val="single" w:color="auto" w:sz="6" w:space="0"/>
            </w:tcBorders>
            <w:noWrap w:val="0"/>
            <w:vAlign w:val="center"/>
          </w:tcPr>
          <w:p>
            <w:pPr>
              <w:pStyle w:val="18"/>
            </w:pPr>
            <w:r>
              <w:t>尺寸：5150×250×450mm(H)，材质SS304</w:t>
            </w:r>
          </w:p>
        </w:tc>
        <w:tc>
          <w:tcPr>
            <w:tcW w:w="556" w:type="dxa"/>
            <w:tcBorders>
              <w:top w:val="single" w:color="auto" w:sz="6" w:space="0"/>
              <w:left w:val="single" w:color="auto" w:sz="6" w:space="0"/>
              <w:bottom w:val="single" w:color="auto" w:sz="6" w:space="0"/>
              <w:right w:val="single" w:color="auto" w:sz="6" w:space="0"/>
            </w:tcBorders>
            <w:noWrap w:val="0"/>
            <w:vAlign w:val="center"/>
          </w:tcPr>
          <w:p>
            <w:pPr>
              <w:pStyle w:val="18"/>
            </w:pPr>
            <w:r>
              <w:t>套</w:t>
            </w:r>
          </w:p>
        </w:tc>
        <w:tc>
          <w:tcPr>
            <w:tcW w:w="590" w:type="dxa"/>
            <w:gridSpan w:val="2"/>
            <w:tcBorders>
              <w:top w:val="single" w:color="auto" w:sz="6" w:space="0"/>
              <w:left w:val="single" w:color="auto" w:sz="6" w:space="0"/>
              <w:bottom w:val="single" w:color="auto" w:sz="6" w:space="0"/>
              <w:right w:val="single" w:color="auto" w:sz="6" w:space="0"/>
            </w:tcBorders>
            <w:noWrap w:val="0"/>
            <w:vAlign w:val="center"/>
          </w:tcPr>
          <w:p>
            <w:pPr>
              <w:pStyle w:val="18"/>
            </w:pPr>
            <w:r>
              <w:t>10</w:t>
            </w:r>
          </w:p>
        </w:tc>
        <w:tc>
          <w:tcPr>
            <w:tcW w:w="627" w:type="dxa"/>
            <w:tcBorders>
              <w:top w:val="single" w:color="auto" w:sz="6" w:space="0"/>
              <w:left w:val="single" w:color="auto" w:sz="6" w:space="0"/>
              <w:bottom w:val="single" w:color="auto" w:sz="6" w:space="0"/>
            </w:tcBorders>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五</w:t>
            </w:r>
          </w:p>
        </w:tc>
        <w:tc>
          <w:tcPr>
            <w:tcW w:w="7676" w:type="dxa"/>
            <w:gridSpan w:val="6"/>
            <w:noWrap w:val="0"/>
            <w:vAlign w:val="center"/>
          </w:tcPr>
          <w:p>
            <w:pPr>
              <w:pStyle w:val="18"/>
            </w:pPr>
            <w:r>
              <w:t>水解酸化池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进水闸门</w:t>
            </w:r>
          </w:p>
        </w:tc>
        <w:tc>
          <w:tcPr>
            <w:tcW w:w="4189" w:type="dxa"/>
            <w:noWrap w:val="0"/>
            <w:vAlign w:val="center"/>
          </w:tcPr>
          <w:p>
            <w:pPr>
              <w:pStyle w:val="18"/>
            </w:pPr>
            <w:r>
              <w:t>铸铁直动式堰门（配套手动启闭机），TY-800×500-750，800×500mm，铸铁镶铜</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填料</w:t>
            </w:r>
          </w:p>
        </w:tc>
        <w:tc>
          <w:tcPr>
            <w:tcW w:w="4189" w:type="dxa"/>
            <w:noWrap w:val="0"/>
            <w:vAlign w:val="center"/>
          </w:tcPr>
          <w:p>
            <w:pPr>
              <w:pStyle w:val="18"/>
            </w:pPr>
            <w:r>
              <w:t>规格Ф180*80，L=3000mm，弹性生物填料，聚烯烃材质</w:t>
            </w:r>
          </w:p>
        </w:tc>
        <w:tc>
          <w:tcPr>
            <w:tcW w:w="556" w:type="dxa"/>
            <w:noWrap w:val="0"/>
            <w:vAlign w:val="center"/>
          </w:tcPr>
          <w:p>
            <w:pPr>
              <w:pStyle w:val="18"/>
            </w:pPr>
            <w:r>
              <w:t>m3</w:t>
            </w:r>
          </w:p>
        </w:tc>
        <w:tc>
          <w:tcPr>
            <w:tcW w:w="590" w:type="dxa"/>
            <w:gridSpan w:val="2"/>
            <w:noWrap w:val="0"/>
            <w:vAlign w:val="center"/>
          </w:tcPr>
          <w:p>
            <w:pPr>
              <w:pStyle w:val="18"/>
            </w:pPr>
            <w:r>
              <w:t>621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六</w:t>
            </w:r>
          </w:p>
        </w:tc>
        <w:tc>
          <w:tcPr>
            <w:tcW w:w="7676" w:type="dxa"/>
            <w:gridSpan w:val="6"/>
            <w:noWrap w:val="0"/>
            <w:vAlign w:val="center"/>
          </w:tcPr>
          <w:p>
            <w:pPr>
              <w:pStyle w:val="18"/>
            </w:pPr>
            <w:r>
              <w:t>A2/O生化池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厌氧池潜水搅拌机</w:t>
            </w:r>
          </w:p>
        </w:tc>
        <w:tc>
          <w:tcPr>
            <w:tcW w:w="4189" w:type="dxa"/>
            <w:noWrap w:val="0"/>
            <w:vAlign w:val="center"/>
          </w:tcPr>
          <w:p>
            <w:pPr>
              <w:pStyle w:val="18"/>
            </w:pPr>
            <w:r>
              <w:t>潜水搅拌机QBJ1.5/6-260/3-980/S，Ф260mm，n=980rpm N=1.5Kw，不锈钢</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一级缺氧池潜水搅拌机</w:t>
            </w:r>
          </w:p>
        </w:tc>
        <w:tc>
          <w:tcPr>
            <w:tcW w:w="4189" w:type="dxa"/>
            <w:noWrap w:val="0"/>
            <w:vAlign w:val="center"/>
          </w:tcPr>
          <w:p>
            <w:pPr>
              <w:pStyle w:val="18"/>
            </w:pPr>
            <w:r>
              <w:t>潜水搅拌机QBJ1.5/6-260/3-980/S，Ф260mm，n=980rpm N=1.5Kw，不锈钢</w:t>
            </w:r>
          </w:p>
        </w:tc>
        <w:tc>
          <w:tcPr>
            <w:tcW w:w="556" w:type="dxa"/>
            <w:noWrap w:val="0"/>
            <w:vAlign w:val="center"/>
          </w:tcPr>
          <w:p>
            <w:pPr>
              <w:pStyle w:val="18"/>
            </w:pPr>
            <w:r>
              <w:t>台</w:t>
            </w:r>
          </w:p>
        </w:tc>
        <w:tc>
          <w:tcPr>
            <w:tcW w:w="590" w:type="dxa"/>
            <w:gridSpan w:val="2"/>
            <w:noWrap w:val="0"/>
            <w:vAlign w:val="center"/>
          </w:tcPr>
          <w:p>
            <w:pPr>
              <w:pStyle w:val="18"/>
            </w:pPr>
            <w:r>
              <w:t>4</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二级缺氧池潜水搅拌机</w:t>
            </w:r>
          </w:p>
        </w:tc>
        <w:tc>
          <w:tcPr>
            <w:tcW w:w="4189" w:type="dxa"/>
            <w:noWrap w:val="0"/>
            <w:vAlign w:val="center"/>
          </w:tcPr>
          <w:p>
            <w:pPr>
              <w:pStyle w:val="18"/>
            </w:pPr>
            <w:r>
              <w:t>潜水搅拌机QBJ2.2/8-320/3-740/S，Ф320mm，n=740rpm N=2.2Kw，不锈钢</w:t>
            </w:r>
          </w:p>
        </w:tc>
        <w:tc>
          <w:tcPr>
            <w:tcW w:w="556" w:type="dxa"/>
            <w:noWrap w:val="0"/>
            <w:vAlign w:val="center"/>
          </w:tcPr>
          <w:p>
            <w:pPr>
              <w:pStyle w:val="18"/>
            </w:pPr>
            <w:r>
              <w:t>台</w:t>
            </w:r>
          </w:p>
        </w:tc>
        <w:tc>
          <w:tcPr>
            <w:tcW w:w="590" w:type="dxa"/>
            <w:gridSpan w:val="2"/>
            <w:noWrap w:val="0"/>
            <w:vAlign w:val="center"/>
          </w:tcPr>
          <w:p>
            <w:pPr>
              <w:pStyle w:val="18"/>
            </w:pPr>
            <w:r>
              <w:t>4</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4</w:t>
            </w:r>
          </w:p>
        </w:tc>
        <w:tc>
          <w:tcPr>
            <w:tcW w:w="1714" w:type="dxa"/>
            <w:noWrap w:val="0"/>
            <w:vAlign w:val="center"/>
          </w:tcPr>
          <w:p>
            <w:pPr>
              <w:pStyle w:val="18"/>
            </w:pPr>
            <w:r>
              <w:t>出水闸门</w:t>
            </w:r>
          </w:p>
        </w:tc>
        <w:tc>
          <w:tcPr>
            <w:tcW w:w="4189" w:type="dxa"/>
            <w:noWrap w:val="0"/>
            <w:vAlign w:val="center"/>
          </w:tcPr>
          <w:p>
            <w:pPr>
              <w:pStyle w:val="18"/>
            </w:pPr>
            <w:r>
              <w:t>铸铁直动式堰门（配套手动启闭机）TY-1200×500-1250，1200×500mm，铸铁镶铜</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5</w:t>
            </w:r>
          </w:p>
        </w:tc>
        <w:tc>
          <w:tcPr>
            <w:tcW w:w="1714" w:type="dxa"/>
            <w:noWrap w:val="0"/>
            <w:vAlign w:val="center"/>
          </w:tcPr>
          <w:p>
            <w:pPr>
              <w:pStyle w:val="18"/>
            </w:pPr>
            <w:r>
              <w:t>1#硝化液回流泵</w:t>
            </w:r>
          </w:p>
        </w:tc>
        <w:tc>
          <w:tcPr>
            <w:tcW w:w="4189" w:type="dxa"/>
            <w:noWrap w:val="0"/>
            <w:vAlign w:val="center"/>
          </w:tcPr>
          <w:p>
            <w:pPr>
              <w:pStyle w:val="18"/>
            </w:pPr>
            <w:r>
              <w:t>潜水回流泵QJB-W2.5 Q=630m3/h， H=0.7m，N=2.5kW，不锈钢</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6</w:t>
            </w:r>
          </w:p>
        </w:tc>
        <w:tc>
          <w:tcPr>
            <w:tcW w:w="1714" w:type="dxa"/>
            <w:noWrap w:val="0"/>
            <w:vAlign w:val="center"/>
          </w:tcPr>
          <w:p>
            <w:pPr>
              <w:pStyle w:val="18"/>
            </w:pPr>
            <w:r>
              <w:t>2#硝化液回流泵</w:t>
            </w:r>
          </w:p>
        </w:tc>
        <w:tc>
          <w:tcPr>
            <w:tcW w:w="4189" w:type="dxa"/>
            <w:noWrap w:val="0"/>
            <w:vAlign w:val="center"/>
          </w:tcPr>
          <w:p>
            <w:pPr>
              <w:pStyle w:val="18"/>
            </w:pPr>
            <w:r>
              <w:t>潜水回流泵QJB-W2.5 Q=630m3/h， H=0.7m，N=2.5kW，不锈钢</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7</w:t>
            </w:r>
          </w:p>
        </w:tc>
        <w:tc>
          <w:tcPr>
            <w:tcW w:w="1714" w:type="dxa"/>
            <w:noWrap w:val="0"/>
            <w:vAlign w:val="center"/>
          </w:tcPr>
          <w:p>
            <w:pPr>
              <w:pStyle w:val="18"/>
            </w:pPr>
            <w:r>
              <w:t>污泥回流泵</w:t>
            </w:r>
          </w:p>
        </w:tc>
        <w:tc>
          <w:tcPr>
            <w:tcW w:w="4189" w:type="dxa"/>
            <w:noWrap w:val="0"/>
            <w:vAlign w:val="center"/>
          </w:tcPr>
          <w:p>
            <w:pPr>
              <w:pStyle w:val="18"/>
            </w:pPr>
            <w:r>
              <w:t>潜水回流泵QJB-W5 Q=420m3/h， H=1.2m，N=5kW，不锈钢</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8</w:t>
            </w:r>
          </w:p>
        </w:tc>
        <w:tc>
          <w:tcPr>
            <w:tcW w:w="1714" w:type="dxa"/>
            <w:noWrap w:val="0"/>
            <w:vAlign w:val="center"/>
          </w:tcPr>
          <w:p>
            <w:pPr>
              <w:pStyle w:val="18"/>
            </w:pPr>
            <w:r>
              <w:t>水解酸化污泥泵</w:t>
            </w:r>
          </w:p>
        </w:tc>
        <w:tc>
          <w:tcPr>
            <w:tcW w:w="4189" w:type="dxa"/>
            <w:noWrap w:val="0"/>
            <w:vAlign w:val="center"/>
          </w:tcPr>
          <w:p>
            <w:pPr>
              <w:pStyle w:val="18"/>
            </w:pPr>
            <w:r>
              <w:t>潜污泵50QW25-10-1.5，Q=25m3/h， H=15m，N=1.5kW，铸铁，自耦安装</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9</w:t>
            </w:r>
          </w:p>
        </w:tc>
        <w:tc>
          <w:tcPr>
            <w:tcW w:w="1714" w:type="dxa"/>
            <w:noWrap w:val="0"/>
            <w:vAlign w:val="center"/>
          </w:tcPr>
          <w:p>
            <w:pPr>
              <w:pStyle w:val="18"/>
            </w:pPr>
            <w:r>
              <w:t>混凝沉淀污泥泵</w:t>
            </w:r>
          </w:p>
        </w:tc>
        <w:tc>
          <w:tcPr>
            <w:tcW w:w="4189" w:type="dxa"/>
            <w:noWrap w:val="0"/>
            <w:vAlign w:val="center"/>
          </w:tcPr>
          <w:p>
            <w:pPr>
              <w:pStyle w:val="18"/>
            </w:pPr>
            <w:r>
              <w:t>潜污泵50QW30-18-4，Q=30m3/h， H=18m，N=4kW，铸铁，自耦安装</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10</w:t>
            </w:r>
          </w:p>
        </w:tc>
        <w:tc>
          <w:tcPr>
            <w:tcW w:w="1714" w:type="dxa"/>
            <w:noWrap w:val="0"/>
            <w:vAlign w:val="center"/>
          </w:tcPr>
          <w:p>
            <w:pPr>
              <w:pStyle w:val="18"/>
            </w:pPr>
            <w:r>
              <w:t>污泥套筒阀</w:t>
            </w:r>
          </w:p>
        </w:tc>
        <w:tc>
          <w:tcPr>
            <w:tcW w:w="4189" w:type="dxa"/>
            <w:noWrap w:val="0"/>
            <w:vAlign w:val="center"/>
          </w:tcPr>
          <w:p>
            <w:pPr>
              <w:pStyle w:val="18"/>
            </w:pPr>
            <w:r>
              <w:t>套筒阀TF300，Φ300mm，铸铁</w:t>
            </w:r>
          </w:p>
        </w:tc>
        <w:tc>
          <w:tcPr>
            <w:tcW w:w="556" w:type="dxa"/>
            <w:noWrap w:val="0"/>
            <w:vAlign w:val="center"/>
          </w:tcPr>
          <w:p>
            <w:pPr>
              <w:pStyle w:val="18"/>
            </w:pPr>
            <w:r>
              <w:t>套</w:t>
            </w:r>
          </w:p>
        </w:tc>
        <w:tc>
          <w:tcPr>
            <w:tcW w:w="590" w:type="dxa"/>
            <w:gridSpan w:val="2"/>
            <w:noWrap w:val="0"/>
            <w:vAlign w:val="center"/>
          </w:tcPr>
          <w:p>
            <w:pPr>
              <w:pStyle w:val="18"/>
            </w:pPr>
            <w:r>
              <w:t>2</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11</w:t>
            </w:r>
          </w:p>
        </w:tc>
        <w:tc>
          <w:tcPr>
            <w:tcW w:w="1714" w:type="dxa"/>
            <w:noWrap w:val="0"/>
            <w:vAlign w:val="center"/>
          </w:tcPr>
          <w:p>
            <w:pPr>
              <w:pStyle w:val="18"/>
            </w:pPr>
            <w:r>
              <w:t>剩余污泥泵</w:t>
            </w:r>
          </w:p>
        </w:tc>
        <w:tc>
          <w:tcPr>
            <w:tcW w:w="4189" w:type="dxa"/>
            <w:noWrap w:val="0"/>
            <w:vAlign w:val="center"/>
          </w:tcPr>
          <w:p>
            <w:pPr>
              <w:pStyle w:val="18"/>
            </w:pPr>
            <w:r>
              <w:t>潜污泵，80QW45-15-42，Q=45m3/h ，H=15m，N=3.7kW，铸铁，自耦安装</w:t>
            </w:r>
          </w:p>
        </w:tc>
        <w:tc>
          <w:tcPr>
            <w:tcW w:w="556" w:type="dxa"/>
            <w:noWrap w:val="0"/>
            <w:vAlign w:val="center"/>
          </w:tcPr>
          <w:p>
            <w:pPr>
              <w:pStyle w:val="18"/>
            </w:pPr>
            <w:r>
              <w:t>台</w:t>
            </w:r>
          </w:p>
        </w:tc>
        <w:tc>
          <w:tcPr>
            <w:tcW w:w="590" w:type="dxa"/>
            <w:gridSpan w:val="2"/>
            <w:noWrap w:val="0"/>
            <w:vAlign w:val="center"/>
          </w:tcPr>
          <w:p>
            <w:pPr>
              <w:pStyle w:val="18"/>
            </w:pPr>
            <w:r>
              <w:t>2</w:t>
            </w:r>
          </w:p>
        </w:tc>
        <w:tc>
          <w:tcPr>
            <w:tcW w:w="627" w:type="dxa"/>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七</w:t>
            </w:r>
          </w:p>
        </w:tc>
        <w:tc>
          <w:tcPr>
            <w:tcW w:w="7676" w:type="dxa"/>
            <w:gridSpan w:val="6"/>
            <w:noWrap w:val="0"/>
            <w:vAlign w:val="center"/>
          </w:tcPr>
          <w:p>
            <w:pPr>
              <w:pStyle w:val="18"/>
            </w:pPr>
            <w:r>
              <w:t>二沉池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二沉池刮泥机</w:t>
            </w:r>
          </w:p>
        </w:tc>
        <w:tc>
          <w:tcPr>
            <w:tcW w:w="4189" w:type="dxa"/>
            <w:noWrap w:val="0"/>
            <w:vAlign w:val="center"/>
          </w:tcPr>
          <w:p>
            <w:pPr>
              <w:pStyle w:val="18"/>
            </w:pPr>
            <w:r>
              <w:t>半桥式中心传动刮泥机（含浮渣系统）ZBG-20，Ф20000mm，外缘线速度：2~3m/min，0.37KW水上部分碳钢防腐，水下部分不锈钢</w:t>
            </w:r>
          </w:p>
        </w:tc>
        <w:tc>
          <w:tcPr>
            <w:tcW w:w="556" w:type="dxa"/>
            <w:noWrap w:val="0"/>
            <w:vAlign w:val="center"/>
          </w:tcPr>
          <w:p>
            <w:pPr>
              <w:pStyle w:val="18"/>
            </w:pPr>
            <w:r>
              <w:t>台</w:t>
            </w:r>
          </w:p>
        </w:tc>
        <w:tc>
          <w:tcPr>
            <w:tcW w:w="234" w:type="dxa"/>
            <w:noWrap w:val="0"/>
            <w:vAlign w:val="center"/>
          </w:tcPr>
          <w:p>
            <w:pPr>
              <w:pStyle w:val="18"/>
            </w:pPr>
            <w:r>
              <w:t>2</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出水堰及浮渣挡板</w:t>
            </w:r>
          </w:p>
        </w:tc>
        <w:tc>
          <w:tcPr>
            <w:tcW w:w="4189" w:type="dxa"/>
            <w:noWrap w:val="0"/>
            <w:vAlign w:val="center"/>
          </w:tcPr>
          <w:p>
            <w:pPr>
              <w:pStyle w:val="18"/>
            </w:pPr>
            <w:r>
              <w:t>组合设备，不锈钢</w:t>
            </w:r>
          </w:p>
        </w:tc>
        <w:tc>
          <w:tcPr>
            <w:tcW w:w="556" w:type="dxa"/>
            <w:noWrap w:val="0"/>
            <w:vAlign w:val="center"/>
          </w:tcPr>
          <w:p>
            <w:pPr>
              <w:pStyle w:val="18"/>
            </w:pPr>
            <w:r>
              <w:t>m</w:t>
            </w:r>
          </w:p>
        </w:tc>
        <w:tc>
          <w:tcPr>
            <w:tcW w:w="234" w:type="dxa"/>
            <w:noWrap w:val="0"/>
            <w:vAlign w:val="center"/>
          </w:tcPr>
          <w:p>
            <w:pPr>
              <w:pStyle w:val="18"/>
            </w:pPr>
            <w:r>
              <w:t>165</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八</w:t>
            </w:r>
          </w:p>
        </w:tc>
        <w:tc>
          <w:tcPr>
            <w:tcW w:w="7676" w:type="dxa"/>
            <w:gridSpan w:val="6"/>
            <w:noWrap w:val="0"/>
            <w:vAlign w:val="center"/>
          </w:tcPr>
          <w:p>
            <w:pPr>
              <w:pStyle w:val="18"/>
            </w:pPr>
            <w:r>
              <w:t>紫外消毒计量池及仪器间</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进水闸门</w:t>
            </w:r>
          </w:p>
        </w:tc>
        <w:tc>
          <w:tcPr>
            <w:tcW w:w="4189" w:type="dxa"/>
            <w:noWrap w:val="0"/>
            <w:vAlign w:val="center"/>
          </w:tcPr>
          <w:p>
            <w:pPr>
              <w:pStyle w:val="18"/>
            </w:pPr>
            <w:r>
              <w:t>渠装钢制闸门CBZ-700×1000，700×1000mm，钢制</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紫外线消毒装置</w:t>
            </w:r>
          </w:p>
        </w:tc>
        <w:tc>
          <w:tcPr>
            <w:tcW w:w="4189" w:type="dxa"/>
            <w:noWrap w:val="0"/>
            <w:vAlign w:val="center"/>
          </w:tcPr>
          <w:p>
            <w:pPr>
              <w:pStyle w:val="18"/>
            </w:pPr>
            <w:r>
              <w:t>单套处理水量 10000 吨/天，4.78kW</w:t>
            </w:r>
          </w:p>
        </w:tc>
        <w:tc>
          <w:tcPr>
            <w:tcW w:w="556" w:type="dxa"/>
            <w:noWrap w:val="0"/>
            <w:vAlign w:val="center"/>
          </w:tcPr>
          <w:p>
            <w:pPr>
              <w:pStyle w:val="18"/>
            </w:pPr>
            <w:r>
              <w:t>套</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出水计量槽</w:t>
            </w:r>
          </w:p>
        </w:tc>
        <w:tc>
          <w:tcPr>
            <w:tcW w:w="4189" w:type="dxa"/>
            <w:noWrap w:val="0"/>
            <w:vAlign w:val="center"/>
          </w:tcPr>
          <w:p>
            <w:pPr>
              <w:pStyle w:val="18"/>
            </w:pPr>
            <w:r>
              <w:t>巴氏计量槽0～1000m3/h，200mm，不锈钢</w:t>
            </w:r>
          </w:p>
        </w:tc>
        <w:tc>
          <w:tcPr>
            <w:tcW w:w="556" w:type="dxa"/>
            <w:noWrap w:val="0"/>
            <w:vAlign w:val="center"/>
          </w:tcPr>
          <w:p>
            <w:pPr>
              <w:pStyle w:val="18"/>
            </w:pPr>
            <w:r>
              <w:t>个</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九</w:t>
            </w:r>
          </w:p>
        </w:tc>
        <w:tc>
          <w:tcPr>
            <w:tcW w:w="7676" w:type="dxa"/>
            <w:gridSpan w:val="6"/>
            <w:noWrap w:val="0"/>
            <w:vAlign w:val="center"/>
          </w:tcPr>
          <w:p>
            <w:pPr>
              <w:pStyle w:val="18"/>
            </w:pPr>
            <w:r>
              <w:t>贮泥池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潜水搅拌机</w:t>
            </w:r>
          </w:p>
        </w:tc>
        <w:tc>
          <w:tcPr>
            <w:tcW w:w="4189" w:type="dxa"/>
            <w:noWrap w:val="0"/>
            <w:vAlign w:val="center"/>
          </w:tcPr>
          <w:p>
            <w:pPr>
              <w:pStyle w:val="18"/>
            </w:pPr>
            <w:r>
              <w:t>叶片直径 260mm转速 980r/min 功率 1.5kW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十</w:t>
            </w:r>
          </w:p>
        </w:tc>
        <w:tc>
          <w:tcPr>
            <w:tcW w:w="7676" w:type="dxa"/>
            <w:gridSpan w:val="6"/>
            <w:noWrap w:val="0"/>
            <w:vAlign w:val="center"/>
          </w:tcPr>
          <w:p>
            <w:pPr>
              <w:pStyle w:val="18"/>
            </w:pPr>
            <w:r>
              <w:t>污泥脱水间</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浓缩机进料泵</w:t>
            </w:r>
          </w:p>
        </w:tc>
        <w:tc>
          <w:tcPr>
            <w:tcW w:w="4189" w:type="dxa"/>
            <w:noWrap w:val="0"/>
            <w:vAlign w:val="center"/>
          </w:tcPr>
          <w:p>
            <w:pPr>
              <w:pStyle w:val="18"/>
            </w:pPr>
            <w:r>
              <w:t>螺杆泵BN70-6L，Q=60m3/h，0.3MPa ，N=15 kW</w:t>
            </w:r>
          </w:p>
        </w:tc>
        <w:tc>
          <w:tcPr>
            <w:tcW w:w="556" w:type="dxa"/>
            <w:noWrap w:val="0"/>
            <w:vAlign w:val="center"/>
          </w:tcPr>
          <w:p>
            <w:pPr>
              <w:pStyle w:val="18"/>
            </w:pPr>
            <w:r>
              <w:t>台</w:t>
            </w:r>
          </w:p>
        </w:tc>
        <w:tc>
          <w:tcPr>
            <w:tcW w:w="234" w:type="dxa"/>
            <w:noWrap w:val="0"/>
            <w:vAlign w:val="center"/>
          </w:tcPr>
          <w:p>
            <w:pPr>
              <w:pStyle w:val="18"/>
            </w:pPr>
            <w:r>
              <w:t>2</w:t>
            </w:r>
          </w:p>
        </w:tc>
        <w:tc>
          <w:tcPr>
            <w:tcW w:w="983" w:type="dxa"/>
            <w:gridSpan w:val="2"/>
            <w:noWrap w:val="0"/>
            <w:vAlign w:val="center"/>
          </w:tcPr>
          <w:p>
            <w:pPr>
              <w:pStyle w:val="18"/>
            </w:pPr>
            <w:r>
              <w:t>一用一备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铁盐投加泵</w:t>
            </w:r>
          </w:p>
        </w:tc>
        <w:tc>
          <w:tcPr>
            <w:tcW w:w="4189" w:type="dxa"/>
            <w:noWrap w:val="0"/>
            <w:vAlign w:val="center"/>
          </w:tcPr>
          <w:p>
            <w:pPr>
              <w:pStyle w:val="18"/>
            </w:pPr>
            <w:r>
              <w:t>计量泵JXM-A44，Q=34L/h，1.2MPa，N=0.37 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压榨进料泵</w:t>
            </w:r>
          </w:p>
        </w:tc>
        <w:tc>
          <w:tcPr>
            <w:tcW w:w="4189" w:type="dxa"/>
            <w:noWrap w:val="0"/>
            <w:vAlign w:val="center"/>
          </w:tcPr>
          <w:p>
            <w:pPr>
              <w:pStyle w:val="18"/>
            </w:pPr>
            <w:r>
              <w:t xml:space="preserve">YB200-19，Q=15m3/h，2.0MPa，N=15 kW </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4</w:t>
            </w:r>
          </w:p>
        </w:tc>
        <w:tc>
          <w:tcPr>
            <w:tcW w:w="1714" w:type="dxa"/>
            <w:noWrap w:val="0"/>
            <w:vAlign w:val="center"/>
          </w:tcPr>
          <w:p>
            <w:pPr>
              <w:pStyle w:val="18"/>
            </w:pPr>
            <w:r>
              <w:t>机械浓缩机</w:t>
            </w:r>
          </w:p>
        </w:tc>
        <w:tc>
          <w:tcPr>
            <w:tcW w:w="4189" w:type="dxa"/>
            <w:noWrap w:val="0"/>
            <w:vAlign w:val="center"/>
          </w:tcPr>
          <w:p>
            <w:pPr>
              <w:pStyle w:val="18"/>
            </w:pPr>
            <w:r>
              <w:t>TECN-402，360-600kgDS/h N=3.2 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5</w:t>
            </w:r>
          </w:p>
        </w:tc>
        <w:tc>
          <w:tcPr>
            <w:tcW w:w="1714" w:type="dxa"/>
            <w:noWrap w:val="0"/>
            <w:vAlign w:val="center"/>
          </w:tcPr>
          <w:p>
            <w:pPr>
              <w:pStyle w:val="18"/>
            </w:pPr>
            <w:r>
              <w:t>PAM泡药机</w:t>
            </w:r>
          </w:p>
        </w:tc>
        <w:tc>
          <w:tcPr>
            <w:tcW w:w="4189" w:type="dxa"/>
            <w:noWrap w:val="0"/>
            <w:vAlign w:val="center"/>
          </w:tcPr>
          <w:p>
            <w:pPr>
              <w:pStyle w:val="18"/>
            </w:pPr>
            <w:r>
              <w:t>全自动泡药机TCZB-2000，Q=2000L/h， N=2 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r>
              <w:t xml:space="preserve"> </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6</w:t>
            </w:r>
          </w:p>
        </w:tc>
        <w:tc>
          <w:tcPr>
            <w:tcW w:w="1714" w:type="dxa"/>
            <w:noWrap w:val="0"/>
            <w:vAlign w:val="center"/>
          </w:tcPr>
          <w:p>
            <w:pPr>
              <w:pStyle w:val="18"/>
            </w:pPr>
            <w:r>
              <w:t>PAM加药泵</w:t>
            </w:r>
          </w:p>
        </w:tc>
        <w:tc>
          <w:tcPr>
            <w:tcW w:w="4189" w:type="dxa"/>
            <w:noWrap w:val="0"/>
            <w:vAlign w:val="center"/>
          </w:tcPr>
          <w:p>
            <w:pPr>
              <w:pStyle w:val="18"/>
            </w:pPr>
            <w:r>
              <w:t>螺杆泵BN2-6L，Q=1.92m3/h，0.3MPa</w:t>
            </w:r>
          </w:p>
        </w:tc>
        <w:tc>
          <w:tcPr>
            <w:tcW w:w="556" w:type="dxa"/>
            <w:noWrap w:val="0"/>
            <w:vAlign w:val="center"/>
          </w:tcPr>
          <w:p>
            <w:pPr>
              <w:pStyle w:val="18"/>
            </w:pPr>
            <w:r>
              <w:t>台</w:t>
            </w:r>
          </w:p>
        </w:tc>
        <w:tc>
          <w:tcPr>
            <w:tcW w:w="234" w:type="dxa"/>
            <w:noWrap w:val="0"/>
            <w:vAlign w:val="center"/>
          </w:tcPr>
          <w:p>
            <w:pPr>
              <w:pStyle w:val="18"/>
            </w:pPr>
            <w:r>
              <w:t>2</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tcBorders>
              <w:top w:val="single" w:color="auto" w:sz="6" w:space="0"/>
              <w:bottom w:val="single" w:color="auto" w:sz="6" w:space="0"/>
              <w:right w:val="single" w:color="auto" w:sz="6" w:space="0"/>
            </w:tcBorders>
            <w:noWrap w:val="0"/>
            <w:vAlign w:val="center"/>
          </w:tcPr>
          <w:p>
            <w:pPr>
              <w:pStyle w:val="18"/>
            </w:pPr>
            <w:r>
              <w:t>7</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pStyle w:val="18"/>
            </w:pPr>
            <w:r>
              <w:t>调理罐</w:t>
            </w:r>
          </w:p>
        </w:tc>
        <w:tc>
          <w:tcPr>
            <w:tcW w:w="4189" w:type="dxa"/>
            <w:tcBorders>
              <w:top w:val="single" w:color="auto" w:sz="6" w:space="0"/>
              <w:left w:val="single" w:color="auto" w:sz="6" w:space="0"/>
              <w:bottom w:val="single" w:color="auto" w:sz="6" w:space="0"/>
              <w:right w:val="single" w:color="auto" w:sz="6" w:space="0"/>
            </w:tcBorders>
            <w:noWrap w:val="0"/>
            <w:vAlign w:val="center"/>
          </w:tcPr>
          <w:p>
            <w:pPr>
              <w:pStyle w:val="18"/>
            </w:pPr>
            <w:r>
              <w:t>Φ2150×2950mm，有效容积V=8m3，碳钢防腐，N=11 kW</w:t>
            </w:r>
          </w:p>
        </w:tc>
        <w:tc>
          <w:tcPr>
            <w:tcW w:w="556" w:type="dxa"/>
            <w:tcBorders>
              <w:top w:val="single" w:color="auto" w:sz="6" w:space="0"/>
              <w:left w:val="single" w:color="auto" w:sz="6" w:space="0"/>
              <w:bottom w:val="single" w:color="auto" w:sz="6" w:space="0"/>
              <w:right w:val="single" w:color="auto" w:sz="6" w:space="0"/>
            </w:tcBorders>
            <w:noWrap w:val="0"/>
            <w:vAlign w:val="center"/>
          </w:tcPr>
          <w:p>
            <w:pPr>
              <w:pStyle w:val="18"/>
            </w:pPr>
            <w:r>
              <w:t>套</w:t>
            </w:r>
          </w:p>
        </w:tc>
        <w:tc>
          <w:tcPr>
            <w:tcW w:w="590" w:type="dxa"/>
            <w:gridSpan w:val="2"/>
            <w:tcBorders>
              <w:top w:val="single" w:color="auto" w:sz="6" w:space="0"/>
              <w:left w:val="single" w:color="auto" w:sz="6" w:space="0"/>
              <w:bottom w:val="single" w:color="auto" w:sz="6" w:space="0"/>
              <w:right w:val="single" w:color="auto" w:sz="6" w:space="0"/>
            </w:tcBorders>
            <w:noWrap w:val="0"/>
            <w:vAlign w:val="center"/>
          </w:tcPr>
          <w:p>
            <w:pPr>
              <w:pStyle w:val="18"/>
            </w:pPr>
            <w:r>
              <w:t>2</w:t>
            </w:r>
          </w:p>
        </w:tc>
        <w:tc>
          <w:tcPr>
            <w:tcW w:w="627" w:type="dxa"/>
            <w:tcBorders>
              <w:top w:val="single" w:color="auto" w:sz="6" w:space="0"/>
              <w:left w:val="single" w:color="auto" w:sz="6" w:space="0"/>
              <w:bottom w:val="single" w:color="auto" w:sz="6" w:space="0"/>
            </w:tcBorders>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8</w:t>
            </w:r>
          </w:p>
        </w:tc>
        <w:tc>
          <w:tcPr>
            <w:tcW w:w="1714" w:type="dxa"/>
            <w:noWrap w:val="0"/>
            <w:vAlign w:val="center"/>
          </w:tcPr>
          <w:p>
            <w:pPr>
              <w:pStyle w:val="18"/>
            </w:pPr>
            <w:r>
              <w:t>铁盐储罐</w:t>
            </w:r>
          </w:p>
        </w:tc>
        <w:tc>
          <w:tcPr>
            <w:tcW w:w="4189" w:type="dxa"/>
            <w:noWrap w:val="0"/>
            <w:vAlign w:val="center"/>
          </w:tcPr>
          <w:p>
            <w:pPr>
              <w:pStyle w:val="18"/>
            </w:pPr>
            <w:r>
              <w:t>Φ1880×2140mm，有效容积V=5m3 ，PE防腐</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9</w:t>
            </w:r>
          </w:p>
        </w:tc>
        <w:tc>
          <w:tcPr>
            <w:tcW w:w="1714" w:type="dxa"/>
            <w:noWrap w:val="0"/>
            <w:vAlign w:val="center"/>
          </w:tcPr>
          <w:p>
            <w:pPr>
              <w:pStyle w:val="18"/>
            </w:pPr>
            <w:r>
              <w:t>石灰料仓</w:t>
            </w:r>
          </w:p>
        </w:tc>
        <w:tc>
          <w:tcPr>
            <w:tcW w:w="4189" w:type="dxa"/>
            <w:noWrap w:val="0"/>
            <w:vAlign w:val="center"/>
          </w:tcPr>
          <w:p>
            <w:pPr>
              <w:pStyle w:val="18"/>
            </w:pPr>
            <w:r>
              <w:t>TCDJ-10有效容积V=10m3 N=5.5 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10</w:t>
            </w:r>
          </w:p>
        </w:tc>
        <w:tc>
          <w:tcPr>
            <w:tcW w:w="1714" w:type="dxa"/>
            <w:noWrap w:val="0"/>
            <w:vAlign w:val="center"/>
          </w:tcPr>
          <w:p>
            <w:pPr>
              <w:pStyle w:val="18"/>
            </w:pPr>
            <w:r>
              <w:t>高压弹性压榨机</w:t>
            </w:r>
          </w:p>
        </w:tc>
        <w:tc>
          <w:tcPr>
            <w:tcW w:w="4189" w:type="dxa"/>
            <w:noWrap w:val="0"/>
            <w:vAlign w:val="center"/>
          </w:tcPr>
          <w:p>
            <w:pPr>
              <w:pStyle w:val="18"/>
            </w:pPr>
            <w:r>
              <w:t>TCYZ-40过滤面积40m2 N=7.5+5.5 kW</w:t>
            </w:r>
          </w:p>
        </w:tc>
        <w:tc>
          <w:tcPr>
            <w:tcW w:w="556" w:type="dxa"/>
            <w:noWrap w:val="0"/>
            <w:vAlign w:val="center"/>
          </w:tcPr>
          <w:p>
            <w:pPr>
              <w:pStyle w:val="18"/>
            </w:pPr>
            <w:r>
              <w:t>台</w:t>
            </w:r>
          </w:p>
        </w:tc>
        <w:tc>
          <w:tcPr>
            <w:tcW w:w="234" w:type="dxa"/>
            <w:noWrap w:val="0"/>
            <w:vAlign w:val="center"/>
          </w:tcPr>
          <w:p>
            <w:pPr>
              <w:pStyle w:val="18"/>
            </w:pPr>
            <w:r>
              <w:t>2</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11</w:t>
            </w:r>
          </w:p>
        </w:tc>
        <w:tc>
          <w:tcPr>
            <w:tcW w:w="1714" w:type="dxa"/>
            <w:noWrap w:val="0"/>
            <w:vAlign w:val="center"/>
          </w:tcPr>
          <w:p>
            <w:pPr>
              <w:pStyle w:val="18"/>
            </w:pPr>
            <w:r>
              <w:t>水平皮带输送机</w:t>
            </w:r>
          </w:p>
        </w:tc>
        <w:tc>
          <w:tcPr>
            <w:tcW w:w="4189" w:type="dxa"/>
            <w:noWrap w:val="0"/>
            <w:vAlign w:val="center"/>
          </w:tcPr>
          <w:p>
            <w:pPr>
              <w:pStyle w:val="18"/>
            </w:pPr>
            <w:r>
              <w:t>带宽800mm L=4000mm v=0.8m/s N=0.75Kw</w:t>
            </w:r>
          </w:p>
        </w:tc>
        <w:tc>
          <w:tcPr>
            <w:tcW w:w="556" w:type="dxa"/>
            <w:noWrap w:val="0"/>
            <w:vAlign w:val="center"/>
          </w:tcPr>
          <w:p>
            <w:pPr>
              <w:pStyle w:val="18"/>
            </w:pPr>
            <w:r>
              <w:t>套</w:t>
            </w:r>
          </w:p>
        </w:tc>
        <w:tc>
          <w:tcPr>
            <w:tcW w:w="234" w:type="dxa"/>
            <w:noWrap w:val="0"/>
            <w:vAlign w:val="center"/>
          </w:tcPr>
          <w:p>
            <w:pPr>
              <w:pStyle w:val="18"/>
            </w:pPr>
            <w:r>
              <w:t>2</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12</w:t>
            </w:r>
          </w:p>
        </w:tc>
        <w:tc>
          <w:tcPr>
            <w:tcW w:w="1714" w:type="dxa"/>
            <w:noWrap w:val="0"/>
            <w:vAlign w:val="center"/>
          </w:tcPr>
          <w:p>
            <w:pPr>
              <w:pStyle w:val="18"/>
            </w:pPr>
            <w:r>
              <w:t>汇总皮带输送机</w:t>
            </w:r>
          </w:p>
        </w:tc>
        <w:tc>
          <w:tcPr>
            <w:tcW w:w="4189" w:type="dxa"/>
            <w:noWrap w:val="0"/>
            <w:vAlign w:val="center"/>
          </w:tcPr>
          <w:p>
            <w:pPr>
              <w:pStyle w:val="18"/>
            </w:pPr>
            <w:r>
              <w:t>带宽800mm L=7500mm v=0.8m/s N=0.75Kw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13</w:t>
            </w:r>
          </w:p>
        </w:tc>
        <w:tc>
          <w:tcPr>
            <w:tcW w:w="1714" w:type="dxa"/>
            <w:noWrap w:val="0"/>
            <w:vAlign w:val="center"/>
          </w:tcPr>
          <w:p>
            <w:pPr>
              <w:pStyle w:val="18"/>
            </w:pPr>
            <w:r>
              <w:t xml:space="preserve">倾斜皮带输送机  </w:t>
            </w:r>
          </w:p>
        </w:tc>
        <w:tc>
          <w:tcPr>
            <w:tcW w:w="4189" w:type="dxa"/>
            <w:noWrap w:val="0"/>
            <w:vAlign w:val="center"/>
          </w:tcPr>
          <w:p>
            <w:pPr>
              <w:pStyle w:val="18"/>
            </w:pPr>
            <w:r>
              <w:t>带宽800mm L=7000mm v=1.6m/s N=2.2Kw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14</w:t>
            </w:r>
          </w:p>
        </w:tc>
        <w:tc>
          <w:tcPr>
            <w:tcW w:w="1714" w:type="dxa"/>
            <w:noWrap w:val="0"/>
            <w:vAlign w:val="center"/>
          </w:tcPr>
          <w:p>
            <w:pPr>
              <w:pStyle w:val="18"/>
            </w:pPr>
            <w:r>
              <w:t>手动清洗机</w:t>
            </w:r>
          </w:p>
        </w:tc>
        <w:tc>
          <w:tcPr>
            <w:tcW w:w="4189" w:type="dxa"/>
            <w:noWrap w:val="0"/>
            <w:vAlign w:val="center"/>
          </w:tcPr>
          <w:p>
            <w:pPr>
              <w:pStyle w:val="18"/>
            </w:pPr>
            <w:r>
              <w:t>PX-40A 40L/min压力：4Mpa N=3Kw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15</w:t>
            </w:r>
          </w:p>
        </w:tc>
        <w:tc>
          <w:tcPr>
            <w:tcW w:w="1714" w:type="dxa"/>
            <w:noWrap w:val="0"/>
            <w:vAlign w:val="center"/>
          </w:tcPr>
          <w:p>
            <w:pPr>
              <w:pStyle w:val="18"/>
            </w:pPr>
            <w:r>
              <w:t>清洗水罐</w:t>
            </w:r>
          </w:p>
        </w:tc>
        <w:tc>
          <w:tcPr>
            <w:tcW w:w="4189" w:type="dxa"/>
            <w:noWrap w:val="0"/>
            <w:vAlign w:val="center"/>
          </w:tcPr>
          <w:p>
            <w:pPr>
              <w:pStyle w:val="18"/>
            </w:pPr>
            <w:r>
              <w:t>PE材质 Φ1080×1375mm有效容积V=1m3</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16</w:t>
            </w:r>
          </w:p>
        </w:tc>
        <w:tc>
          <w:tcPr>
            <w:tcW w:w="1714" w:type="dxa"/>
            <w:noWrap w:val="0"/>
            <w:vAlign w:val="center"/>
          </w:tcPr>
          <w:p>
            <w:pPr>
              <w:pStyle w:val="18"/>
            </w:pPr>
            <w:r>
              <w:t>空压机</w:t>
            </w:r>
          </w:p>
        </w:tc>
        <w:tc>
          <w:tcPr>
            <w:tcW w:w="4189" w:type="dxa"/>
            <w:noWrap w:val="0"/>
            <w:vAlign w:val="center"/>
          </w:tcPr>
          <w:p>
            <w:pPr>
              <w:pStyle w:val="18"/>
            </w:pPr>
            <w:r>
              <w:t>XLAM10A 0.95Nm3/min 1.0MPa N=7.5Kw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17</w:t>
            </w:r>
          </w:p>
        </w:tc>
        <w:tc>
          <w:tcPr>
            <w:tcW w:w="1714" w:type="dxa"/>
            <w:noWrap w:val="0"/>
            <w:vAlign w:val="center"/>
          </w:tcPr>
          <w:p>
            <w:pPr>
              <w:pStyle w:val="18"/>
            </w:pPr>
            <w:r>
              <w:t>冷干机</w:t>
            </w:r>
          </w:p>
        </w:tc>
        <w:tc>
          <w:tcPr>
            <w:tcW w:w="4189" w:type="dxa"/>
            <w:noWrap w:val="0"/>
            <w:vAlign w:val="center"/>
          </w:tcPr>
          <w:p>
            <w:pPr>
              <w:pStyle w:val="18"/>
            </w:pPr>
            <w:r>
              <w:t>XL007GF 0.7Nm3/min N=0.63Kw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18</w:t>
            </w:r>
          </w:p>
        </w:tc>
        <w:tc>
          <w:tcPr>
            <w:tcW w:w="1714" w:type="dxa"/>
            <w:noWrap w:val="0"/>
            <w:vAlign w:val="center"/>
          </w:tcPr>
          <w:p>
            <w:pPr>
              <w:pStyle w:val="18"/>
            </w:pPr>
            <w:r>
              <w:t>反吹储气罐</w:t>
            </w:r>
          </w:p>
        </w:tc>
        <w:tc>
          <w:tcPr>
            <w:tcW w:w="4189" w:type="dxa"/>
            <w:noWrap w:val="0"/>
            <w:vAlign w:val="center"/>
          </w:tcPr>
          <w:p>
            <w:pPr>
              <w:pStyle w:val="18"/>
            </w:pPr>
            <w:r>
              <w:t>C-2.0Φ1000mm有效容积V=2m3</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19</w:t>
            </w:r>
          </w:p>
        </w:tc>
        <w:tc>
          <w:tcPr>
            <w:tcW w:w="1714" w:type="dxa"/>
            <w:noWrap w:val="0"/>
            <w:vAlign w:val="center"/>
          </w:tcPr>
          <w:p>
            <w:pPr>
              <w:pStyle w:val="18"/>
            </w:pPr>
            <w:r>
              <w:t>仪表储气罐</w:t>
            </w:r>
          </w:p>
        </w:tc>
        <w:tc>
          <w:tcPr>
            <w:tcW w:w="4189" w:type="dxa"/>
            <w:noWrap w:val="0"/>
            <w:vAlign w:val="center"/>
          </w:tcPr>
          <w:p>
            <w:pPr>
              <w:pStyle w:val="18"/>
            </w:pPr>
            <w:r>
              <w:t>C-0.3Φ550mm有效容积V=0.3m3</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20</w:t>
            </w:r>
          </w:p>
        </w:tc>
        <w:tc>
          <w:tcPr>
            <w:tcW w:w="1714" w:type="dxa"/>
            <w:noWrap w:val="0"/>
            <w:vAlign w:val="center"/>
          </w:tcPr>
          <w:p>
            <w:pPr>
              <w:pStyle w:val="18"/>
            </w:pPr>
            <w:r>
              <w:t>轴流风机</w:t>
            </w:r>
          </w:p>
        </w:tc>
        <w:tc>
          <w:tcPr>
            <w:tcW w:w="4189" w:type="dxa"/>
            <w:noWrap w:val="0"/>
            <w:vAlign w:val="center"/>
          </w:tcPr>
          <w:p>
            <w:pPr>
              <w:pStyle w:val="18"/>
            </w:pPr>
            <w:r>
              <w:t>Q=2000m3/h N=0.18Kw</w:t>
            </w:r>
          </w:p>
        </w:tc>
        <w:tc>
          <w:tcPr>
            <w:tcW w:w="556" w:type="dxa"/>
            <w:noWrap w:val="0"/>
            <w:vAlign w:val="center"/>
          </w:tcPr>
          <w:p>
            <w:pPr>
              <w:pStyle w:val="18"/>
            </w:pPr>
            <w:r>
              <w:t>台</w:t>
            </w:r>
          </w:p>
        </w:tc>
        <w:tc>
          <w:tcPr>
            <w:tcW w:w="234" w:type="dxa"/>
            <w:noWrap w:val="0"/>
            <w:vAlign w:val="center"/>
          </w:tcPr>
          <w:p>
            <w:pPr>
              <w:pStyle w:val="18"/>
            </w:pPr>
            <w:r>
              <w:t>2</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21</w:t>
            </w:r>
          </w:p>
        </w:tc>
        <w:tc>
          <w:tcPr>
            <w:tcW w:w="1714" w:type="dxa"/>
            <w:noWrap w:val="0"/>
            <w:vAlign w:val="center"/>
          </w:tcPr>
          <w:p>
            <w:pPr>
              <w:pStyle w:val="18"/>
            </w:pPr>
            <w:r>
              <w:t>电动单梁起重机</w:t>
            </w:r>
          </w:p>
        </w:tc>
        <w:tc>
          <w:tcPr>
            <w:tcW w:w="4189" w:type="dxa"/>
            <w:noWrap w:val="0"/>
            <w:vAlign w:val="center"/>
          </w:tcPr>
          <w:p>
            <w:pPr>
              <w:pStyle w:val="18"/>
            </w:pPr>
            <w:r>
              <w:t>电动葫芦CD 1-9D，W=1.0t，H=9m，N=1.7Kw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十一</w:t>
            </w:r>
          </w:p>
        </w:tc>
        <w:tc>
          <w:tcPr>
            <w:tcW w:w="7676" w:type="dxa"/>
            <w:gridSpan w:val="6"/>
            <w:noWrap w:val="0"/>
            <w:vAlign w:val="center"/>
          </w:tcPr>
          <w:p>
            <w:pPr>
              <w:pStyle w:val="18"/>
            </w:pPr>
            <w:r>
              <w:t>溶药加药间及鼓风机房</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w:t>
            </w:r>
          </w:p>
        </w:tc>
        <w:tc>
          <w:tcPr>
            <w:tcW w:w="1714" w:type="dxa"/>
            <w:noWrap w:val="0"/>
            <w:vAlign w:val="center"/>
          </w:tcPr>
          <w:p>
            <w:pPr>
              <w:pStyle w:val="18"/>
            </w:pPr>
            <w:r>
              <w:t>PAC溶药装置</w:t>
            </w:r>
          </w:p>
        </w:tc>
        <w:tc>
          <w:tcPr>
            <w:tcW w:w="4189" w:type="dxa"/>
            <w:noWrap w:val="0"/>
            <w:vAlign w:val="center"/>
          </w:tcPr>
          <w:p>
            <w:pPr>
              <w:pStyle w:val="18"/>
            </w:pPr>
            <w:r>
              <w:t>起重量 2t，跨度 7.5m，起重高度 6m，功率</w:t>
            </w:r>
          </w:p>
          <w:p>
            <w:pPr>
              <w:pStyle w:val="18"/>
            </w:pPr>
            <w:r>
              <w:t>（3+0.4+0.4*2）kW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2</w:t>
            </w:r>
          </w:p>
        </w:tc>
        <w:tc>
          <w:tcPr>
            <w:tcW w:w="1714" w:type="dxa"/>
            <w:noWrap w:val="0"/>
            <w:vAlign w:val="center"/>
          </w:tcPr>
          <w:p>
            <w:pPr>
              <w:pStyle w:val="18"/>
            </w:pPr>
            <w:r>
              <w:t>加碱溶药桶</w:t>
            </w:r>
          </w:p>
        </w:tc>
        <w:tc>
          <w:tcPr>
            <w:tcW w:w="4189" w:type="dxa"/>
            <w:noWrap w:val="0"/>
            <w:vAlign w:val="center"/>
          </w:tcPr>
          <w:p>
            <w:pPr>
              <w:pStyle w:val="18"/>
            </w:pPr>
            <w:r>
              <w:t>JBJ-400，Φ1200×1700mm，V=1.5m3碳钢防腐</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3</w:t>
            </w:r>
          </w:p>
        </w:tc>
        <w:tc>
          <w:tcPr>
            <w:tcW w:w="1714" w:type="dxa"/>
            <w:noWrap w:val="0"/>
            <w:vAlign w:val="center"/>
          </w:tcPr>
          <w:p>
            <w:pPr>
              <w:pStyle w:val="18"/>
            </w:pPr>
            <w:r>
              <w:t>PAC加药泵</w:t>
            </w:r>
          </w:p>
        </w:tc>
        <w:tc>
          <w:tcPr>
            <w:tcW w:w="4189" w:type="dxa"/>
            <w:noWrap w:val="0"/>
            <w:vAlign w:val="center"/>
          </w:tcPr>
          <w:p>
            <w:pPr>
              <w:pStyle w:val="18"/>
            </w:pPr>
            <w:r>
              <w:t>计量泵GM0120，Q=120L/h，N=0.25Kw</w:t>
            </w:r>
          </w:p>
        </w:tc>
        <w:tc>
          <w:tcPr>
            <w:tcW w:w="556" w:type="dxa"/>
            <w:noWrap w:val="0"/>
            <w:vAlign w:val="center"/>
          </w:tcPr>
          <w:p>
            <w:pPr>
              <w:pStyle w:val="18"/>
            </w:pPr>
            <w:r>
              <w:t>台</w:t>
            </w:r>
          </w:p>
        </w:tc>
        <w:tc>
          <w:tcPr>
            <w:tcW w:w="234" w:type="dxa"/>
            <w:noWrap w:val="0"/>
            <w:vAlign w:val="center"/>
          </w:tcPr>
          <w:p>
            <w:pPr>
              <w:pStyle w:val="18"/>
            </w:pPr>
            <w:r>
              <w:t>3</w:t>
            </w:r>
          </w:p>
        </w:tc>
        <w:tc>
          <w:tcPr>
            <w:tcW w:w="983" w:type="dxa"/>
            <w:gridSpan w:val="2"/>
            <w:noWrap w:val="0"/>
            <w:vAlign w:val="center"/>
          </w:tcPr>
          <w:p>
            <w:pPr>
              <w:pStyle w:val="18"/>
            </w:pPr>
            <w:r>
              <w:t>两用一备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4</w:t>
            </w:r>
          </w:p>
        </w:tc>
        <w:tc>
          <w:tcPr>
            <w:tcW w:w="1714" w:type="dxa"/>
            <w:noWrap w:val="0"/>
            <w:vAlign w:val="center"/>
          </w:tcPr>
          <w:p>
            <w:pPr>
              <w:pStyle w:val="18"/>
            </w:pPr>
            <w:r>
              <w:t>进水粗调加碱泵</w:t>
            </w:r>
          </w:p>
        </w:tc>
        <w:tc>
          <w:tcPr>
            <w:tcW w:w="4189" w:type="dxa"/>
            <w:noWrap w:val="0"/>
            <w:vAlign w:val="center"/>
          </w:tcPr>
          <w:p>
            <w:pPr>
              <w:pStyle w:val="18"/>
            </w:pPr>
            <w:r>
              <w:t>计量泵GM0120SPXSEH，Q=120L/h，N=0.25Kw</w:t>
            </w:r>
          </w:p>
        </w:tc>
        <w:tc>
          <w:tcPr>
            <w:tcW w:w="556" w:type="dxa"/>
            <w:noWrap w:val="0"/>
            <w:vAlign w:val="center"/>
          </w:tcPr>
          <w:p>
            <w:pPr>
              <w:pStyle w:val="18"/>
            </w:pPr>
            <w:r>
              <w:t>台</w:t>
            </w:r>
          </w:p>
        </w:tc>
        <w:tc>
          <w:tcPr>
            <w:tcW w:w="234" w:type="dxa"/>
            <w:noWrap w:val="0"/>
            <w:vAlign w:val="center"/>
          </w:tcPr>
          <w:p>
            <w:pPr>
              <w:pStyle w:val="18"/>
            </w:pPr>
            <w:r>
              <w:t>1</w:t>
            </w:r>
          </w:p>
        </w:tc>
        <w:tc>
          <w:tcPr>
            <w:tcW w:w="983" w:type="dxa"/>
            <w:gridSpan w:val="2"/>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5</w:t>
            </w:r>
          </w:p>
        </w:tc>
        <w:tc>
          <w:tcPr>
            <w:tcW w:w="1714" w:type="dxa"/>
            <w:noWrap w:val="0"/>
            <w:vAlign w:val="center"/>
          </w:tcPr>
          <w:p>
            <w:pPr>
              <w:pStyle w:val="18"/>
            </w:pPr>
            <w:r>
              <w:t>调节池加碱泵</w:t>
            </w:r>
          </w:p>
        </w:tc>
        <w:tc>
          <w:tcPr>
            <w:tcW w:w="4189" w:type="dxa"/>
            <w:noWrap w:val="0"/>
            <w:vAlign w:val="center"/>
          </w:tcPr>
          <w:p>
            <w:pPr>
              <w:pStyle w:val="18"/>
            </w:pPr>
            <w:r>
              <w:t>计量泵GM0010SPXSEH，Q=9L/h，N=0.25Kw</w:t>
            </w:r>
          </w:p>
        </w:tc>
        <w:tc>
          <w:tcPr>
            <w:tcW w:w="556" w:type="dxa"/>
            <w:noWrap w:val="0"/>
            <w:vAlign w:val="center"/>
          </w:tcPr>
          <w:p>
            <w:pPr>
              <w:pStyle w:val="18"/>
            </w:pPr>
            <w:r>
              <w:t>台</w:t>
            </w:r>
          </w:p>
        </w:tc>
        <w:tc>
          <w:tcPr>
            <w:tcW w:w="234" w:type="dxa"/>
            <w:noWrap w:val="0"/>
            <w:vAlign w:val="center"/>
          </w:tcPr>
          <w:p>
            <w:pPr>
              <w:pStyle w:val="18"/>
            </w:pPr>
            <w:r>
              <w:t>3</w:t>
            </w:r>
          </w:p>
        </w:tc>
        <w:tc>
          <w:tcPr>
            <w:tcW w:w="983" w:type="dxa"/>
            <w:gridSpan w:val="2"/>
            <w:noWrap w:val="0"/>
            <w:vAlign w:val="center"/>
          </w:tcPr>
          <w:p>
            <w:pPr>
              <w:pStyle w:val="18"/>
            </w:pPr>
            <w:r>
              <w:t>两用一备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6</w:t>
            </w:r>
          </w:p>
        </w:tc>
        <w:tc>
          <w:tcPr>
            <w:tcW w:w="1714" w:type="dxa"/>
            <w:noWrap w:val="0"/>
            <w:vAlign w:val="center"/>
          </w:tcPr>
          <w:p>
            <w:pPr>
              <w:pStyle w:val="18"/>
            </w:pPr>
            <w:r>
              <w:t>PAM全自动泡药机</w:t>
            </w:r>
          </w:p>
        </w:tc>
        <w:tc>
          <w:tcPr>
            <w:tcW w:w="4189" w:type="dxa"/>
            <w:noWrap w:val="0"/>
            <w:vAlign w:val="center"/>
          </w:tcPr>
          <w:p>
            <w:pPr>
              <w:pStyle w:val="18"/>
            </w:pPr>
            <w:r>
              <w:t>全自动泡药机PY3-1000，Q=1.0m3/h，N=1.0Kw</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7</w:t>
            </w:r>
          </w:p>
        </w:tc>
        <w:tc>
          <w:tcPr>
            <w:tcW w:w="1714" w:type="dxa"/>
            <w:noWrap w:val="0"/>
            <w:vAlign w:val="center"/>
          </w:tcPr>
          <w:p>
            <w:pPr>
              <w:pStyle w:val="18"/>
            </w:pPr>
            <w:r>
              <w:t>PAM加药泵</w:t>
            </w:r>
          </w:p>
        </w:tc>
        <w:tc>
          <w:tcPr>
            <w:tcW w:w="4189" w:type="dxa"/>
            <w:noWrap w:val="0"/>
            <w:vAlign w:val="center"/>
          </w:tcPr>
          <w:p>
            <w:pPr>
              <w:pStyle w:val="18"/>
            </w:pPr>
            <w:r>
              <w:t>计量泵GB0500，Q=0.5m3/h，0.7MPa，N=0.5kW</w:t>
            </w:r>
          </w:p>
        </w:tc>
        <w:tc>
          <w:tcPr>
            <w:tcW w:w="556" w:type="dxa"/>
            <w:noWrap w:val="0"/>
            <w:vAlign w:val="center"/>
          </w:tcPr>
          <w:p>
            <w:pPr>
              <w:pStyle w:val="18"/>
            </w:pPr>
            <w:r>
              <w:t>台</w:t>
            </w:r>
          </w:p>
        </w:tc>
        <w:tc>
          <w:tcPr>
            <w:tcW w:w="590" w:type="dxa"/>
            <w:gridSpan w:val="2"/>
            <w:noWrap w:val="0"/>
            <w:vAlign w:val="center"/>
          </w:tcPr>
          <w:p>
            <w:pPr>
              <w:pStyle w:val="18"/>
            </w:pPr>
            <w:r>
              <w:t>3</w:t>
            </w:r>
          </w:p>
        </w:tc>
        <w:tc>
          <w:tcPr>
            <w:tcW w:w="627" w:type="dxa"/>
            <w:noWrap w:val="0"/>
            <w:vAlign w:val="center"/>
          </w:tcPr>
          <w:p>
            <w:pPr>
              <w:pStyle w:val="18"/>
            </w:pPr>
            <w:r>
              <w:t>两用一备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8</w:t>
            </w:r>
          </w:p>
        </w:tc>
        <w:tc>
          <w:tcPr>
            <w:tcW w:w="1714" w:type="dxa"/>
            <w:noWrap w:val="0"/>
            <w:vAlign w:val="center"/>
          </w:tcPr>
          <w:p>
            <w:pPr>
              <w:pStyle w:val="18"/>
            </w:pPr>
            <w:r>
              <w:t>电动葫芦1</w:t>
            </w:r>
          </w:p>
        </w:tc>
        <w:tc>
          <w:tcPr>
            <w:tcW w:w="4189" w:type="dxa"/>
            <w:noWrap w:val="0"/>
            <w:vAlign w:val="center"/>
          </w:tcPr>
          <w:p>
            <w:pPr>
              <w:pStyle w:val="18"/>
            </w:pPr>
            <w:r>
              <w:t>CD 1-6D，W=1t，H=6m，N=1.7Kw</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9</w:t>
            </w:r>
          </w:p>
        </w:tc>
        <w:tc>
          <w:tcPr>
            <w:tcW w:w="1714" w:type="dxa"/>
            <w:noWrap w:val="0"/>
            <w:vAlign w:val="center"/>
          </w:tcPr>
          <w:p>
            <w:pPr>
              <w:pStyle w:val="18"/>
            </w:pPr>
            <w:r>
              <w:t>电动葫芦2</w:t>
            </w:r>
          </w:p>
        </w:tc>
        <w:tc>
          <w:tcPr>
            <w:tcW w:w="4189" w:type="dxa"/>
            <w:noWrap w:val="0"/>
            <w:vAlign w:val="center"/>
          </w:tcPr>
          <w:p>
            <w:pPr>
              <w:pStyle w:val="18"/>
            </w:pPr>
            <w:r>
              <w:t>CD0.5-6D，W=0.5t，H=6m，N=1.1Kw</w:t>
            </w:r>
          </w:p>
        </w:tc>
        <w:tc>
          <w:tcPr>
            <w:tcW w:w="556" w:type="dxa"/>
            <w:noWrap w:val="0"/>
            <w:vAlign w:val="center"/>
          </w:tcPr>
          <w:p>
            <w:pPr>
              <w:pStyle w:val="18"/>
            </w:pPr>
            <w:r>
              <w:t>台</w:t>
            </w:r>
          </w:p>
        </w:tc>
        <w:tc>
          <w:tcPr>
            <w:tcW w:w="590" w:type="dxa"/>
            <w:gridSpan w:val="2"/>
            <w:noWrap w:val="0"/>
            <w:vAlign w:val="center"/>
          </w:tcPr>
          <w:p>
            <w:pPr>
              <w:pStyle w:val="18"/>
            </w:pPr>
            <w:r>
              <w:t>1</w:t>
            </w:r>
          </w:p>
        </w:tc>
        <w:tc>
          <w:tcPr>
            <w:tcW w:w="627"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jc w:val="center"/>
        </w:trPr>
        <w:tc>
          <w:tcPr>
            <w:tcW w:w="658" w:type="dxa"/>
            <w:noWrap w:val="0"/>
            <w:vAlign w:val="center"/>
          </w:tcPr>
          <w:p>
            <w:pPr>
              <w:pStyle w:val="18"/>
            </w:pPr>
            <w:r>
              <w:t>10</w:t>
            </w:r>
          </w:p>
        </w:tc>
        <w:tc>
          <w:tcPr>
            <w:tcW w:w="1714" w:type="dxa"/>
            <w:noWrap w:val="0"/>
            <w:vAlign w:val="center"/>
          </w:tcPr>
          <w:p>
            <w:pPr>
              <w:pStyle w:val="18"/>
            </w:pPr>
            <w:r>
              <w:t>曝气鼓风机</w:t>
            </w:r>
          </w:p>
        </w:tc>
        <w:tc>
          <w:tcPr>
            <w:tcW w:w="4189" w:type="dxa"/>
            <w:noWrap w:val="0"/>
            <w:vAlign w:val="center"/>
          </w:tcPr>
          <w:p>
            <w:pPr>
              <w:pStyle w:val="18"/>
            </w:pPr>
            <w:r>
              <w:t>罗茨风机GRB-200，29.40m3/min，68.6Kpa，N=75Kw</w:t>
            </w:r>
          </w:p>
        </w:tc>
        <w:tc>
          <w:tcPr>
            <w:tcW w:w="556" w:type="dxa"/>
            <w:noWrap w:val="0"/>
            <w:vAlign w:val="center"/>
          </w:tcPr>
          <w:p>
            <w:pPr>
              <w:pStyle w:val="18"/>
            </w:pPr>
            <w:r>
              <w:t>台</w:t>
            </w:r>
          </w:p>
        </w:tc>
        <w:tc>
          <w:tcPr>
            <w:tcW w:w="590" w:type="dxa"/>
            <w:gridSpan w:val="2"/>
            <w:noWrap w:val="0"/>
            <w:vAlign w:val="center"/>
          </w:tcPr>
          <w:p>
            <w:pPr>
              <w:pStyle w:val="18"/>
            </w:pPr>
            <w:r>
              <w:t>3</w:t>
            </w:r>
          </w:p>
        </w:tc>
        <w:tc>
          <w:tcPr>
            <w:tcW w:w="627" w:type="dxa"/>
            <w:noWrap w:val="0"/>
            <w:vAlign w:val="center"/>
          </w:tcPr>
          <w:p>
            <w:pPr>
              <w:pStyle w:val="18"/>
            </w:pPr>
            <w:r>
              <w:t>两用一备</w:t>
            </w:r>
          </w:p>
        </w:tc>
      </w:tr>
      <w:bookmarkEnd w:id="133"/>
      <w:bookmarkEnd w:id="134"/>
    </w:tbl>
    <w:p>
      <w:pPr>
        <w:pStyle w:val="21"/>
        <w:rPr>
          <w:rFonts w:hint="eastAsia"/>
          <w:lang w:val="en-US" w:eastAsia="zh-CN"/>
        </w:rPr>
      </w:pPr>
      <w:r>
        <w:rPr>
          <w:rFonts w:hint="eastAsia"/>
          <w:lang w:val="en-US" w:eastAsia="zh-CN"/>
        </w:rPr>
        <w:t>2.1.2纳污范围及进出水水质</w:t>
      </w:r>
      <w:bookmarkEnd w:id="135"/>
      <w:bookmarkEnd w:id="136"/>
      <w:bookmarkEnd w:id="137"/>
      <w:bookmarkEnd w:id="138"/>
    </w:p>
    <w:p>
      <w:pPr>
        <w:pStyle w:val="14"/>
        <w:rPr>
          <w:rFonts w:hint="default"/>
          <w:lang w:val="en-US" w:eastAsia="zh-CN"/>
        </w:rPr>
      </w:pPr>
      <w:r>
        <w:rPr>
          <w:rFonts w:hint="eastAsia"/>
          <w:lang w:val="en-US" w:eastAsia="zh-CN"/>
        </w:rPr>
        <w:t>赣州经开区污水处理厂一期</w:t>
      </w:r>
      <w:r>
        <w:rPr>
          <w:rFonts w:hint="default"/>
          <w:lang w:val="en-US" w:eastAsia="zh-CN"/>
        </w:rPr>
        <w:t>处理规模为</w:t>
      </w:r>
      <w:r>
        <w:rPr>
          <w:rFonts w:hint="eastAsia"/>
          <w:lang w:val="en-US" w:eastAsia="zh-CN"/>
        </w:rPr>
        <w:t>1</w:t>
      </w:r>
      <w:r>
        <w:rPr>
          <w:rFonts w:hint="default"/>
          <w:lang w:val="en-US" w:eastAsia="zh-CN"/>
        </w:rPr>
        <w:t>万m</w:t>
      </w:r>
      <w:r>
        <w:rPr>
          <w:rFonts w:hint="default"/>
          <w:vertAlign w:val="superscript"/>
          <w:lang w:val="en-US" w:eastAsia="zh-CN"/>
        </w:rPr>
        <w:t>3</w:t>
      </w:r>
      <w:r>
        <w:rPr>
          <w:rFonts w:hint="default"/>
          <w:lang w:val="en-US" w:eastAsia="zh-CN"/>
        </w:rPr>
        <w:t>/d，</w:t>
      </w:r>
      <w:r>
        <w:rPr>
          <w:rFonts w:hint="eastAsia"/>
          <w:lang w:val="en-US" w:eastAsia="zh-CN"/>
        </w:rPr>
        <w:t>设计进、</w:t>
      </w:r>
      <w:r>
        <w:rPr>
          <w:rFonts w:hint="default"/>
          <w:lang w:val="en-US" w:eastAsia="zh-CN"/>
        </w:rPr>
        <w:t>出水水质</w:t>
      </w:r>
      <w:r>
        <w:rPr>
          <w:rFonts w:hint="eastAsia"/>
          <w:lang w:val="en-US" w:eastAsia="zh-CN"/>
        </w:rPr>
        <w:t>详见下表</w:t>
      </w:r>
      <w:r>
        <w:rPr>
          <w:rFonts w:hint="default"/>
          <w:lang w:val="en-US" w:eastAsia="zh-CN"/>
        </w:rPr>
        <w:t>。</w:t>
      </w:r>
    </w:p>
    <w:p>
      <w:pPr>
        <w:pStyle w:val="16"/>
      </w:pPr>
    </w:p>
    <w:p>
      <w:pPr>
        <w:pStyle w:val="16"/>
      </w:pPr>
    </w:p>
    <w:p>
      <w:pPr>
        <w:pStyle w:val="16"/>
      </w:pPr>
      <w:r>
        <w:t>表</w:t>
      </w:r>
      <w:r>
        <w:rPr>
          <w:rFonts w:hint="eastAsia"/>
          <w:lang w:val="en-US" w:eastAsia="zh-CN"/>
        </w:rPr>
        <w:t>2.1-4</w:t>
      </w:r>
      <w:r>
        <w:t xml:space="preserve">  </w:t>
      </w:r>
      <w:r>
        <w:rPr>
          <w:rFonts w:hint="eastAsia"/>
        </w:rPr>
        <w:t>主要进</w:t>
      </w:r>
      <w:r>
        <w:rPr>
          <w:rFonts w:hint="eastAsia"/>
          <w:lang w:eastAsia="zh-CN"/>
        </w:rPr>
        <w:t>、出</w:t>
      </w:r>
      <w:r>
        <w:rPr>
          <w:rFonts w:hint="eastAsia"/>
        </w:rPr>
        <w:t>水水质指标</w:t>
      </w:r>
      <w:r>
        <w:t xml:space="preserve">  </w:t>
      </w:r>
      <w:r>
        <w:rPr>
          <w:rFonts w:hint="eastAsia"/>
        </w:rPr>
        <w:t>单位：mg/L（pH、色度除外）</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43"/>
        <w:gridCol w:w="1002"/>
        <w:gridCol w:w="1002"/>
        <w:gridCol w:w="1002"/>
        <w:gridCol w:w="1002"/>
        <w:gridCol w:w="1002"/>
        <w:gridCol w:w="998"/>
        <w:gridCol w:w="983"/>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343" w:type="dxa"/>
            <w:noWrap w:val="0"/>
            <w:vAlign w:val="center"/>
          </w:tcPr>
          <w:p>
            <w:pPr>
              <w:pStyle w:val="18"/>
            </w:pPr>
            <w:r>
              <w:t>指标</w:t>
            </w:r>
          </w:p>
        </w:tc>
        <w:tc>
          <w:tcPr>
            <w:tcW w:w="1002" w:type="dxa"/>
            <w:noWrap w:val="0"/>
            <w:vAlign w:val="center"/>
          </w:tcPr>
          <w:p>
            <w:pPr>
              <w:pStyle w:val="18"/>
            </w:pPr>
            <w:r>
              <w:t>pH</w:t>
            </w:r>
          </w:p>
        </w:tc>
        <w:tc>
          <w:tcPr>
            <w:tcW w:w="1002" w:type="dxa"/>
            <w:noWrap w:val="0"/>
            <w:vAlign w:val="center"/>
          </w:tcPr>
          <w:p>
            <w:pPr>
              <w:pStyle w:val="18"/>
            </w:pPr>
            <w:r>
              <w:t>COD</w:t>
            </w:r>
          </w:p>
        </w:tc>
        <w:tc>
          <w:tcPr>
            <w:tcW w:w="1002" w:type="dxa"/>
            <w:noWrap w:val="0"/>
            <w:vAlign w:val="center"/>
          </w:tcPr>
          <w:p>
            <w:pPr>
              <w:pStyle w:val="18"/>
            </w:pPr>
            <w:r>
              <w:t>BOD5</w:t>
            </w:r>
          </w:p>
        </w:tc>
        <w:tc>
          <w:tcPr>
            <w:tcW w:w="1002" w:type="dxa"/>
            <w:noWrap w:val="0"/>
            <w:vAlign w:val="center"/>
          </w:tcPr>
          <w:p>
            <w:pPr>
              <w:pStyle w:val="18"/>
            </w:pPr>
            <w:r>
              <w:t>NH</w:t>
            </w:r>
            <w:r>
              <w:rPr>
                <w:vertAlign w:val="subscript"/>
              </w:rPr>
              <w:t>3</w:t>
            </w:r>
            <w:r>
              <w:t>-N</w:t>
            </w:r>
          </w:p>
        </w:tc>
        <w:tc>
          <w:tcPr>
            <w:tcW w:w="1002" w:type="dxa"/>
            <w:noWrap w:val="0"/>
            <w:vAlign w:val="center"/>
          </w:tcPr>
          <w:p>
            <w:pPr>
              <w:pStyle w:val="18"/>
            </w:pPr>
            <w:r>
              <w:t>SS</w:t>
            </w:r>
          </w:p>
        </w:tc>
        <w:tc>
          <w:tcPr>
            <w:tcW w:w="998" w:type="dxa"/>
            <w:noWrap w:val="0"/>
            <w:vAlign w:val="center"/>
          </w:tcPr>
          <w:p>
            <w:pPr>
              <w:pStyle w:val="18"/>
            </w:pPr>
            <w:r>
              <w:t>TN</w:t>
            </w:r>
          </w:p>
        </w:tc>
        <w:tc>
          <w:tcPr>
            <w:tcW w:w="983" w:type="dxa"/>
            <w:noWrap w:val="0"/>
            <w:vAlign w:val="center"/>
          </w:tcPr>
          <w:p>
            <w:pPr>
              <w:pStyle w:val="18"/>
            </w:pPr>
            <w:r>
              <w:t>TP</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343" w:type="dxa"/>
            <w:noWrap w:val="0"/>
            <w:vAlign w:val="center"/>
          </w:tcPr>
          <w:p>
            <w:pPr>
              <w:pStyle w:val="18"/>
            </w:pPr>
            <w:r>
              <w:rPr>
                <w:rFonts w:hint="eastAsia"/>
                <w:lang w:eastAsia="zh-CN"/>
              </w:rPr>
              <w:t>进水</w:t>
            </w:r>
            <w:r>
              <w:t>标准</w:t>
            </w:r>
          </w:p>
        </w:tc>
        <w:tc>
          <w:tcPr>
            <w:tcW w:w="1002" w:type="dxa"/>
            <w:noWrap w:val="0"/>
            <w:vAlign w:val="center"/>
          </w:tcPr>
          <w:p>
            <w:pPr>
              <w:pStyle w:val="18"/>
            </w:pPr>
            <w:r>
              <w:t>6～9</w:t>
            </w:r>
          </w:p>
        </w:tc>
        <w:tc>
          <w:tcPr>
            <w:tcW w:w="1002" w:type="dxa"/>
            <w:noWrap w:val="0"/>
            <w:vAlign w:val="center"/>
          </w:tcPr>
          <w:p>
            <w:pPr>
              <w:pStyle w:val="18"/>
            </w:pPr>
            <w:r>
              <w:t>≤500</w:t>
            </w:r>
          </w:p>
        </w:tc>
        <w:tc>
          <w:tcPr>
            <w:tcW w:w="1002" w:type="dxa"/>
            <w:noWrap w:val="0"/>
            <w:vAlign w:val="center"/>
          </w:tcPr>
          <w:p>
            <w:pPr>
              <w:pStyle w:val="18"/>
            </w:pPr>
            <w:r>
              <w:t>≤300</w:t>
            </w:r>
          </w:p>
        </w:tc>
        <w:tc>
          <w:tcPr>
            <w:tcW w:w="1002" w:type="dxa"/>
            <w:noWrap w:val="0"/>
            <w:vAlign w:val="center"/>
          </w:tcPr>
          <w:p>
            <w:pPr>
              <w:pStyle w:val="18"/>
            </w:pPr>
            <w:r>
              <w:t>≤50</w:t>
            </w:r>
          </w:p>
        </w:tc>
        <w:tc>
          <w:tcPr>
            <w:tcW w:w="1002" w:type="dxa"/>
            <w:noWrap w:val="0"/>
            <w:vAlign w:val="center"/>
          </w:tcPr>
          <w:p>
            <w:pPr>
              <w:pStyle w:val="18"/>
            </w:pPr>
            <w:r>
              <w:t>≤300</w:t>
            </w:r>
          </w:p>
        </w:tc>
        <w:tc>
          <w:tcPr>
            <w:tcW w:w="998" w:type="dxa"/>
            <w:noWrap w:val="0"/>
            <w:vAlign w:val="center"/>
          </w:tcPr>
          <w:p>
            <w:pPr>
              <w:pStyle w:val="18"/>
            </w:pPr>
            <w:r>
              <w:t>≤70</w:t>
            </w:r>
          </w:p>
        </w:tc>
        <w:tc>
          <w:tcPr>
            <w:tcW w:w="983" w:type="dxa"/>
            <w:noWrap w:val="0"/>
            <w:vAlign w:val="center"/>
          </w:tcPr>
          <w:p>
            <w:pPr>
              <w:pStyle w:val="18"/>
            </w:pPr>
            <w:r>
              <w:t>≤5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343" w:type="dxa"/>
            <w:noWrap w:val="0"/>
            <w:vAlign w:val="center"/>
          </w:tcPr>
          <w:p>
            <w:pPr>
              <w:pStyle w:val="18"/>
              <w:rPr>
                <w:rFonts w:hint="eastAsia" w:eastAsia="宋体"/>
                <w:lang w:eastAsia="zh-CN"/>
              </w:rPr>
            </w:pPr>
            <w:r>
              <w:rPr>
                <w:rFonts w:hint="eastAsia"/>
                <w:lang w:eastAsia="zh-CN"/>
              </w:rPr>
              <w:t>出水标准</w:t>
            </w:r>
          </w:p>
        </w:tc>
        <w:tc>
          <w:tcPr>
            <w:tcW w:w="1002" w:type="dxa"/>
            <w:noWrap w:val="0"/>
            <w:vAlign w:val="center"/>
          </w:tcPr>
          <w:p>
            <w:pPr>
              <w:pStyle w:val="18"/>
            </w:pPr>
            <w:r>
              <w:t>6～9</w:t>
            </w:r>
          </w:p>
        </w:tc>
        <w:tc>
          <w:tcPr>
            <w:tcW w:w="1002" w:type="dxa"/>
            <w:noWrap w:val="0"/>
            <w:vAlign w:val="center"/>
          </w:tcPr>
          <w:p>
            <w:pPr>
              <w:pStyle w:val="18"/>
              <w:rPr>
                <w:rFonts w:hint="eastAsia" w:eastAsia="宋体"/>
                <w:lang w:val="en-US" w:eastAsia="zh-CN"/>
              </w:rPr>
            </w:pPr>
            <w:r>
              <w:rPr>
                <w:rFonts w:hint="eastAsia"/>
                <w:lang w:val="en-US" w:eastAsia="zh-CN"/>
              </w:rPr>
              <w:t>60</w:t>
            </w:r>
          </w:p>
        </w:tc>
        <w:tc>
          <w:tcPr>
            <w:tcW w:w="1002" w:type="dxa"/>
            <w:noWrap w:val="0"/>
            <w:vAlign w:val="center"/>
          </w:tcPr>
          <w:p>
            <w:pPr>
              <w:pStyle w:val="18"/>
              <w:rPr>
                <w:rFonts w:hint="eastAsia" w:eastAsia="宋体"/>
                <w:lang w:val="en-US" w:eastAsia="zh-CN"/>
              </w:rPr>
            </w:pPr>
            <w:r>
              <w:rPr>
                <w:rFonts w:hint="eastAsia"/>
                <w:lang w:val="en-US" w:eastAsia="zh-CN"/>
              </w:rPr>
              <w:t>20</w:t>
            </w:r>
          </w:p>
        </w:tc>
        <w:tc>
          <w:tcPr>
            <w:tcW w:w="1002" w:type="dxa"/>
            <w:noWrap w:val="0"/>
            <w:vAlign w:val="center"/>
          </w:tcPr>
          <w:p>
            <w:pPr>
              <w:pStyle w:val="18"/>
              <w:rPr>
                <w:rFonts w:hint="eastAsia" w:eastAsia="宋体"/>
                <w:lang w:val="en-US" w:eastAsia="zh-CN"/>
              </w:rPr>
            </w:pPr>
            <w:r>
              <w:rPr>
                <w:rFonts w:hint="eastAsia"/>
                <w:lang w:val="en-US" w:eastAsia="zh-CN"/>
              </w:rPr>
              <w:t>8</w:t>
            </w:r>
            <w:r>
              <w:rPr>
                <w:rFonts w:ascii="Times New Roman"/>
                <w:kern w:val="2"/>
                <w:sz w:val="21"/>
                <w:szCs w:val="21"/>
              </w:rPr>
              <w:t>（15）</w:t>
            </w:r>
          </w:p>
        </w:tc>
        <w:tc>
          <w:tcPr>
            <w:tcW w:w="1002" w:type="dxa"/>
            <w:noWrap w:val="0"/>
            <w:vAlign w:val="center"/>
          </w:tcPr>
          <w:p>
            <w:pPr>
              <w:pStyle w:val="18"/>
              <w:rPr>
                <w:rFonts w:hint="eastAsia" w:eastAsia="宋体"/>
                <w:lang w:val="en-US" w:eastAsia="zh-CN"/>
              </w:rPr>
            </w:pPr>
            <w:r>
              <w:rPr>
                <w:rFonts w:hint="eastAsia"/>
                <w:lang w:val="en-US" w:eastAsia="zh-CN"/>
              </w:rPr>
              <w:t>20</w:t>
            </w:r>
          </w:p>
        </w:tc>
        <w:tc>
          <w:tcPr>
            <w:tcW w:w="998" w:type="dxa"/>
            <w:noWrap w:val="0"/>
            <w:vAlign w:val="center"/>
          </w:tcPr>
          <w:p>
            <w:pPr>
              <w:pStyle w:val="18"/>
              <w:rPr>
                <w:rFonts w:hint="eastAsia" w:eastAsia="宋体"/>
                <w:lang w:val="en-US" w:eastAsia="zh-CN"/>
              </w:rPr>
            </w:pPr>
            <w:r>
              <w:rPr>
                <w:rFonts w:hint="eastAsia"/>
                <w:lang w:val="en-US" w:eastAsia="zh-CN"/>
              </w:rPr>
              <w:t>20</w:t>
            </w:r>
          </w:p>
        </w:tc>
        <w:tc>
          <w:tcPr>
            <w:tcW w:w="983" w:type="dxa"/>
            <w:noWrap w:val="0"/>
            <w:vAlign w:val="center"/>
          </w:tcPr>
          <w:p>
            <w:pPr>
              <w:pStyle w:val="18"/>
              <w:rPr>
                <w:rFonts w:hint="eastAsia" w:eastAsia="宋体"/>
                <w:lang w:val="en-US" w:eastAsia="zh-CN"/>
              </w:rPr>
            </w:pPr>
            <w:r>
              <w:rPr>
                <w:rFonts w:hint="eastAsia"/>
                <w:lang w:val="en-US" w:eastAsia="zh-CN"/>
              </w:rPr>
              <w:t>1</w:t>
            </w:r>
          </w:p>
        </w:tc>
      </w:tr>
    </w:tbl>
    <w:p>
      <w:pPr>
        <w:pStyle w:val="14"/>
        <w:rPr>
          <w:rFonts w:hint="default"/>
          <w:lang w:val="en-US" w:eastAsia="zh-CN"/>
        </w:rPr>
      </w:pPr>
      <w:r>
        <w:rPr>
          <w:rFonts w:hint="default"/>
          <w:lang w:val="en-US" w:eastAsia="zh-CN"/>
        </w:rPr>
        <w:t>经过调查，</w:t>
      </w:r>
      <w:r>
        <w:rPr>
          <w:rFonts w:hint="eastAsia"/>
          <w:lang w:val="en-US" w:eastAsia="zh-CN"/>
        </w:rPr>
        <w:t>项目纳污范围内</w:t>
      </w:r>
      <w:r>
        <w:rPr>
          <w:rFonts w:hint="default"/>
          <w:lang w:val="en-US" w:eastAsia="zh-CN"/>
        </w:rPr>
        <w:t>目前实际入区企业情况具体如下：</w:t>
      </w:r>
    </w:p>
    <w:p>
      <w:pPr>
        <w:pStyle w:val="16"/>
      </w:pPr>
      <w:r>
        <w:rPr>
          <w:rFonts w:hint="default" w:ascii="Times New Roman" w:hAnsi="Times New Roman" w:eastAsia="宋体" w:cs="Times New Roman"/>
          <w:color w:val="auto"/>
          <w:highlight w:val="none"/>
          <w:u w:val="none"/>
        </w:rPr>
        <w:t>表</w:t>
      </w:r>
      <w:r>
        <w:rPr>
          <w:rFonts w:hint="default" w:ascii="Times New Roman" w:hAnsi="Times New Roman" w:eastAsia="宋体" w:cs="Times New Roman"/>
          <w:color w:val="auto"/>
          <w:highlight w:val="none"/>
          <w:u w:val="none"/>
          <w:lang w:eastAsia="zh-CN"/>
        </w:rPr>
        <w:t>2.1</w:t>
      </w:r>
      <w:r>
        <w:rPr>
          <w:rFonts w:hint="default" w:ascii="Times New Roman" w:hAnsi="Times New Roman" w:eastAsia="宋体" w:cs="Times New Roman"/>
          <w:color w:val="auto"/>
          <w:highlight w:val="none"/>
          <w:u w:val="none"/>
        </w:rPr>
        <w:t>-</w:t>
      </w:r>
      <w:r>
        <w:rPr>
          <w:rFonts w:hint="eastAsia" w:cs="Times New Roman"/>
          <w:color w:val="auto"/>
          <w:highlight w:val="none"/>
          <w:u w:val="none"/>
          <w:lang w:val="en-US" w:eastAsia="zh-CN"/>
        </w:rPr>
        <w:t>5</w:t>
      </w:r>
      <w:r>
        <w:rPr>
          <w:rFonts w:hint="default" w:ascii="Times New Roman" w:hAnsi="Times New Roman" w:eastAsia="宋体" w:cs="Times New Roman"/>
          <w:color w:val="auto"/>
          <w:highlight w:val="none"/>
          <w:u w:val="none"/>
          <w:lang w:val="en-US" w:eastAsia="zh-CN"/>
        </w:rPr>
        <w:t xml:space="preserve"> </w:t>
      </w:r>
      <w:r>
        <w:rPr>
          <w:rFonts w:hint="default" w:ascii="Times New Roman" w:hAnsi="Times New Roman" w:eastAsia="宋体" w:cs="Times New Roman"/>
          <w:color w:val="auto"/>
          <w:highlight w:val="none"/>
          <w:u w:val="none"/>
        </w:rPr>
        <w:t xml:space="preserve"> </w:t>
      </w:r>
      <w:r>
        <w:rPr>
          <w:rFonts w:hint="eastAsia" w:eastAsia="宋体" w:cs="Times New Roman"/>
          <w:color w:val="auto"/>
          <w:highlight w:val="none"/>
          <w:u w:val="none"/>
          <w:lang w:eastAsia="zh-CN"/>
        </w:rPr>
        <w:t>纳污范围内企业废水</w:t>
      </w:r>
      <w:r>
        <w:rPr>
          <w:rFonts w:hint="default" w:ascii="Times New Roman" w:hAnsi="Times New Roman" w:eastAsia="宋体" w:cs="Times New Roman"/>
          <w:color w:val="auto"/>
          <w:highlight w:val="none"/>
          <w:u w:val="none"/>
        </w:rPr>
        <w:t>情况表</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417"/>
        <w:gridCol w:w="1298"/>
        <w:gridCol w:w="1173"/>
        <w:gridCol w:w="672"/>
        <w:gridCol w:w="756"/>
        <w:gridCol w:w="754"/>
        <w:gridCol w:w="756"/>
        <w:gridCol w:w="2508"/>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序号</w:t>
            </w:r>
          </w:p>
        </w:tc>
        <w:tc>
          <w:tcPr>
            <w:tcW w:w="1298" w:type="dxa"/>
            <w:noWrap w:val="0"/>
            <w:vAlign w:val="center"/>
          </w:tcPr>
          <w:p>
            <w:pPr>
              <w:pStyle w:val="18"/>
            </w:pPr>
            <w:r>
              <w:t>企业名称</w:t>
            </w:r>
          </w:p>
        </w:tc>
        <w:tc>
          <w:tcPr>
            <w:tcW w:w="1173" w:type="dxa"/>
            <w:noWrap w:val="0"/>
            <w:vAlign w:val="center"/>
          </w:tcPr>
          <w:p>
            <w:pPr>
              <w:pStyle w:val="18"/>
            </w:pPr>
            <w:r>
              <w:t>主要产品</w:t>
            </w:r>
          </w:p>
        </w:tc>
        <w:tc>
          <w:tcPr>
            <w:tcW w:w="672" w:type="dxa"/>
            <w:noWrap w:val="0"/>
            <w:vAlign w:val="center"/>
          </w:tcPr>
          <w:p>
            <w:pPr>
              <w:pStyle w:val="18"/>
            </w:pPr>
            <w:r>
              <w:t>企业人数</w:t>
            </w:r>
          </w:p>
          <w:p>
            <w:pPr>
              <w:pStyle w:val="18"/>
            </w:pPr>
            <w:r>
              <w:t>（人）</w:t>
            </w:r>
          </w:p>
        </w:tc>
        <w:tc>
          <w:tcPr>
            <w:tcW w:w="756" w:type="dxa"/>
            <w:tcBorders>
              <w:right w:val="single" w:color="auto" w:sz="4" w:space="0"/>
            </w:tcBorders>
            <w:noWrap w:val="0"/>
            <w:vAlign w:val="center"/>
          </w:tcPr>
          <w:p>
            <w:pPr>
              <w:pStyle w:val="18"/>
            </w:pPr>
            <w:r>
              <w:t>污水总量</w:t>
            </w:r>
          </w:p>
          <w:p>
            <w:pPr>
              <w:pStyle w:val="18"/>
            </w:pPr>
            <w:r>
              <w:t>(t/d)</w:t>
            </w:r>
          </w:p>
        </w:tc>
        <w:tc>
          <w:tcPr>
            <w:tcW w:w="754" w:type="dxa"/>
            <w:tcBorders>
              <w:left w:val="single" w:color="auto" w:sz="4" w:space="0"/>
              <w:right w:val="single" w:color="auto" w:sz="4" w:space="0"/>
            </w:tcBorders>
            <w:noWrap w:val="0"/>
            <w:vAlign w:val="center"/>
          </w:tcPr>
          <w:p>
            <w:pPr>
              <w:pStyle w:val="18"/>
            </w:pPr>
            <w:r>
              <w:t>工业废水</w:t>
            </w:r>
          </w:p>
          <w:p>
            <w:pPr>
              <w:pStyle w:val="18"/>
            </w:pPr>
            <w:r>
              <w:t>（t/d)</w:t>
            </w:r>
          </w:p>
        </w:tc>
        <w:tc>
          <w:tcPr>
            <w:tcW w:w="756" w:type="dxa"/>
            <w:tcBorders>
              <w:left w:val="single" w:color="auto" w:sz="4" w:space="0"/>
            </w:tcBorders>
            <w:noWrap w:val="0"/>
            <w:vAlign w:val="center"/>
          </w:tcPr>
          <w:p>
            <w:pPr>
              <w:pStyle w:val="18"/>
            </w:pPr>
            <w:r>
              <w:t>生活废水</w:t>
            </w:r>
          </w:p>
          <w:p>
            <w:pPr>
              <w:pStyle w:val="18"/>
            </w:pPr>
            <w:r>
              <w:t>（t/d)</w:t>
            </w:r>
          </w:p>
        </w:tc>
        <w:tc>
          <w:tcPr>
            <w:tcW w:w="2508" w:type="dxa"/>
            <w:noWrap w:val="0"/>
            <w:vAlign w:val="center"/>
          </w:tcPr>
          <w:p>
            <w:pPr>
              <w:pStyle w:val="18"/>
            </w:pPr>
            <w:r>
              <w:t>主要污染物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w:t>
            </w:r>
          </w:p>
        </w:tc>
        <w:tc>
          <w:tcPr>
            <w:tcW w:w="1298" w:type="dxa"/>
            <w:noWrap w:val="0"/>
            <w:vAlign w:val="center"/>
          </w:tcPr>
          <w:p>
            <w:pPr>
              <w:pStyle w:val="18"/>
            </w:pPr>
            <w:r>
              <w:t>华翔毅伟</w:t>
            </w:r>
          </w:p>
        </w:tc>
        <w:tc>
          <w:tcPr>
            <w:tcW w:w="1173" w:type="dxa"/>
            <w:noWrap w:val="0"/>
            <w:vAlign w:val="center"/>
          </w:tcPr>
          <w:p>
            <w:pPr>
              <w:pStyle w:val="18"/>
            </w:pPr>
            <w:r>
              <w:t>电子产品</w:t>
            </w:r>
          </w:p>
        </w:tc>
        <w:tc>
          <w:tcPr>
            <w:tcW w:w="672" w:type="dxa"/>
            <w:noWrap w:val="0"/>
            <w:vAlign w:val="center"/>
          </w:tcPr>
          <w:p>
            <w:pPr>
              <w:pStyle w:val="18"/>
            </w:pPr>
            <w:r>
              <w:t>80</w:t>
            </w:r>
          </w:p>
        </w:tc>
        <w:tc>
          <w:tcPr>
            <w:tcW w:w="756" w:type="dxa"/>
            <w:tcBorders>
              <w:right w:val="single" w:color="auto" w:sz="4" w:space="0"/>
            </w:tcBorders>
            <w:noWrap w:val="0"/>
            <w:vAlign w:val="center"/>
          </w:tcPr>
          <w:p>
            <w:pPr>
              <w:pStyle w:val="18"/>
            </w:pPr>
            <w:r>
              <w:t>58</w:t>
            </w:r>
          </w:p>
        </w:tc>
        <w:tc>
          <w:tcPr>
            <w:tcW w:w="754" w:type="dxa"/>
            <w:tcBorders>
              <w:left w:val="single" w:color="auto" w:sz="4" w:space="0"/>
              <w:right w:val="single" w:color="auto" w:sz="4" w:space="0"/>
            </w:tcBorders>
            <w:noWrap w:val="0"/>
            <w:vAlign w:val="center"/>
          </w:tcPr>
          <w:p>
            <w:pPr>
              <w:pStyle w:val="18"/>
            </w:pPr>
            <w:r>
              <w:t>50</w:t>
            </w:r>
          </w:p>
        </w:tc>
        <w:tc>
          <w:tcPr>
            <w:tcW w:w="756" w:type="dxa"/>
            <w:tcBorders>
              <w:left w:val="single" w:color="auto" w:sz="4" w:space="0"/>
            </w:tcBorders>
            <w:noWrap w:val="0"/>
            <w:vAlign w:val="center"/>
          </w:tcPr>
          <w:p>
            <w:pPr>
              <w:pStyle w:val="18"/>
            </w:pPr>
            <w:r>
              <w:t>8</w:t>
            </w:r>
          </w:p>
        </w:tc>
        <w:tc>
          <w:tcPr>
            <w:tcW w:w="2508" w:type="dxa"/>
            <w:noWrap w:val="0"/>
            <w:vAlign w:val="center"/>
          </w:tcPr>
          <w:p>
            <w:pPr>
              <w:pStyle w:val="18"/>
              <w:rPr>
                <w:rFonts w:hint="eastAsia"/>
              </w:rPr>
            </w:pPr>
            <w:r>
              <w:t>COD、NH</w:t>
            </w:r>
            <w:r>
              <w:rPr>
                <w:vertAlign w:val="subscript"/>
              </w:rPr>
              <w:t>3</w:t>
            </w:r>
            <w:r>
              <w:t>-N、SS</w:t>
            </w:r>
            <w:r>
              <w:rPr>
                <w:rFonts w:hint="eastAsia"/>
              </w:rPr>
              <w:t>、苯</w:t>
            </w:r>
            <w:r>
              <w:t>类、</w:t>
            </w:r>
            <w:r>
              <w:rPr>
                <w:rFonts w:hint="eastAsia"/>
              </w:rPr>
              <w:t>Cu、C</w:t>
            </w:r>
            <w:r>
              <w:t>d</w:t>
            </w:r>
            <w:r>
              <w:rPr>
                <w:rFonts w:hint="eastAsia"/>
              </w:rPr>
              <w:t>、P</w:t>
            </w:r>
            <w:r>
              <w:t>b</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2</w:t>
            </w:r>
          </w:p>
        </w:tc>
        <w:tc>
          <w:tcPr>
            <w:tcW w:w="1298" w:type="dxa"/>
            <w:noWrap w:val="0"/>
            <w:vAlign w:val="center"/>
          </w:tcPr>
          <w:p>
            <w:pPr>
              <w:pStyle w:val="18"/>
            </w:pPr>
            <w:r>
              <w:t>摩力斯</w:t>
            </w:r>
          </w:p>
        </w:tc>
        <w:tc>
          <w:tcPr>
            <w:tcW w:w="1173" w:type="dxa"/>
            <w:noWrap w:val="0"/>
            <w:vAlign w:val="center"/>
          </w:tcPr>
          <w:p>
            <w:pPr>
              <w:pStyle w:val="18"/>
            </w:pPr>
            <w:r>
              <w:t>电磁炉</w:t>
            </w:r>
          </w:p>
        </w:tc>
        <w:tc>
          <w:tcPr>
            <w:tcW w:w="672" w:type="dxa"/>
            <w:noWrap w:val="0"/>
            <w:vAlign w:val="center"/>
          </w:tcPr>
          <w:p>
            <w:pPr>
              <w:pStyle w:val="18"/>
            </w:pPr>
            <w:r>
              <w:t>130</w:t>
            </w:r>
          </w:p>
        </w:tc>
        <w:tc>
          <w:tcPr>
            <w:tcW w:w="756" w:type="dxa"/>
            <w:tcBorders>
              <w:right w:val="single" w:color="auto" w:sz="4" w:space="0"/>
            </w:tcBorders>
            <w:noWrap w:val="0"/>
            <w:vAlign w:val="center"/>
          </w:tcPr>
          <w:p>
            <w:pPr>
              <w:pStyle w:val="18"/>
            </w:pPr>
            <w:r>
              <w:t>69</w:t>
            </w:r>
          </w:p>
        </w:tc>
        <w:tc>
          <w:tcPr>
            <w:tcW w:w="754" w:type="dxa"/>
            <w:tcBorders>
              <w:left w:val="single" w:color="auto" w:sz="4" w:space="0"/>
              <w:right w:val="single" w:color="auto" w:sz="4" w:space="0"/>
            </w:tcBorders>
            <w:noWrap w:val="0"/>
            <w:vAlign w:val="center"/>
          </w:tcPr>
          <w:p>
            <w:pPr>
              <w:pStyle w:val="18"/>
            </w:pPr>
            <w:r>
              <w:t>56</w:t>
            </w:r>
          </w:p>
        </w:tc>
        <w:tc>
          <w:tcPr>
            <w:tcW w:w="756" w:type="dxa"/>
            <w:tcBorders>
              <w:left w:val="single" w:color="auto" w:sz="4" w:space="0"/>
            </w:tcBorders>
            <w:noWrap w:val="0"/>
            <w:vAlign w:val="center"/>
          </w:tcPr>
          <w:p>
            <w:pPr>
              <w:pStyle w:val="18"/>
            </w:pPr>
            <w:r>
              <w:t>13</w:t>
            </w:r>
          </w:p>
        </w:tc>
        <w:tc>
          <w:tcPr>
            <w:tcW w:w="2508" w:type="dxa"/>
            <w:noWrap w:val="0"/>
            <w:vAlign w:val="center"/>
          </w:tcPr>
          <w:p>
            <w:pPr>
              <w:pStyle w:val="18"/>
              <w:rPr>
                <w:rFonts w:hint="eastAsia"/>
              </w:rPr>
            </w:pPr>
            <w:r>
              <w:t>COD、NH</w:t>
            </w:r>
            <w:r>
              <w:rPr>
                <w:vertAlign w:val="subscript"/>
              </w:rPr>
              <w:t>3</w:t>
            </w:r>
            <w:r>
              <w:t>-N、SS</w:t>
            </w:r>
            <w:r>
              <w:rPr>
                <w:rFonts w:hint="eastAsia"/>
              </w:rPr>
              <w:t>、苯</w:t>
            </w:r>
            <w:r>
              <w:t>类、</w:t>
            </w:r>
            <w:r>
              <w:rPr>
                <w:rFonts w:hint="eastAsia"/>
              </w:rPr>
              <w:t>Cu、C</w:t>
            </w:r>
            <w:r>
              <w:t>d</w:t>
            </w:r>
            <w:r>
              <w:rPr>
                <w:rFonts w:hint="eastAsia"/>
              </w:rPr>
              <w:t>、P</w:t>
            </w:r>
            <w:r>
              <w:t>b</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3</w:t>
            </w:r>
          </w:p>
        </w:tc>
        <w:tc>
          <w:tcPr>
            <w:tcW w:w="1298" w:type="dxa"/>
            <w:noWrap w:val="0"/>
            <w:vAlign w:val="center"/>
          </w:tcPr>
          <w:p>
            <w:pPr>
              <w:pStyle w:val="18"/>
            </w:pPr>
            <w:r>
              <w:t>中电京桥</w:t>
            </w:r>
          </w:p>
        </w:tc>
        <w:tc>
          <w:tcPr>
            <w:tcW w:w="1173" w:type="dxa"/>
            <w:noWrap w:val="0"/>
            <w:vAlign w:val="center"/>
          </w:tcPr>
          <w:p>
            <w:pPr>
              <w:pStyle w:val="18"/>
            </w:pPr>
            <w:r>
              <w:t>电子产品</w:t>
            </w:r>
          </w:p>
        </w:tc>
        <w:tc>
          <w:tcPr>
            <w:tcW w:w="672" w:type="dxa"/>
            <w:noWrap w:val="0"/>
            <w:vAlign w:val="center"/>
          </w:tcPr>
          <w:p>
            <w:pPr>
              <w:pStyle w:val="18"/>
            </w:pPr>
            <w:r>
              <w:t>100</w:t>
            </w:r>
          </w:p>
        </w:tc>
        <w:tc>
          <w:tcPr>
            <w:tcW w:w="756" w:type="dxa"/>
            <w:tcBorders>
              <w:right w:val="single" w:color="auto" w:sz="4" w:space="0"/>
            </w:tcBorders>
            <w:noWrap w:val="0"/>
            <w:vAlign w:val="center"/>
          </w:tcPr>
          <w:p>
            <w:pPr>
              <w:pStyle w:val="18"/>
            </w:pPr>
            <w:r>
              <w:t>60</w:t>
            </w:r>
          </w:p>
        </w:tc>
        <w:tc>
          <w:tcPr>
            <w:tcW w:w="754" w:type="dxa"/>
            <w:tcBorders>
              <w:left w:val="single" w:color="auto" w:sz="4" w:space="0"/>
              <w:right w:val="single" w:color="auto" w:sz="4" w:space="0"/>
            </w:tcBorders>
            <w:noWrap w:val="0"/>
            <w:vAlign w:val="center"/>
          </w:tcPr>
          <w:p>
            <w:pPr>
              <w:pStyle w:val="18"/>
            </w:pPr>
            <w:r>
              <w:t>50</w:t>
            </w:r>
          </w:p>
        </w:tc>
        <w:tc>
          <w:tcPr>
            <w:tcW w:w="756" w:type="dxa"/>
            <w:tcBorders>
              <w:left w:val="single" w:color="auto" w:sz="4" w:space="0"/>
            </w:tcBorders>
            <w:noWrap w:val="0"/>
            <w:vAlign w:val="center"/>
          </w:tcPr>
          <w:p>
            <w:pPr>
              <w:pStyle w:val="18"/>
            </w:pPr>
            <w:r>
              <w:t>10</w:t>
            </w:r>
          </w:p>
        </w:tc>
        <w:tc>
          <w:tcPr>
            <w:tcW w:w="2508" w:type="dxa"/>
            <w:noWrap w:val="0"/>
            <w:vAlign w:val="center"/>
          </w:tcPr>
          <w:p>
            <w:pPr>
              <w:pStyle w:val="18"/>
              <w:rPr>
                <w:rFonts w:hint="eastAsia"/>
              </w:rPr>
            </w:pPr>
            <w:r>
              <w:t>COD、NH</w:t>
            </w:r>
            <w:r>
              <w:rPr>
                <w:vertAlign w:val="subscript"/>
              </w:rPr>
              <w:t>3</w:t>
            </w:r>
            <w:r>
              <w:t>-N、SS</w:t>
            </w:r>
            <w:r>
              <w:rPr>
                <w:rFonts w:hint="eastAsia"/>
              </w:rPr>
              <w:t>、苯</w:t>
            </w:r>
            <w:r>
              <w:t>类、</w:t>
            </w:r>
            <w:r>
              <w:rPr>
                <w:rFonts w:hint="eastAsia"/>
              </w:rPr>
              <w:t>Cu、C</w:t>
            </w:r>
            <w:r>
              <w:t>d</w:t>
            </w:r>
            <w:r>
              <w:rPr>
                <w:rFonts w:hint="eastAsia"/>
              </w:rPr>
              <w:t>、P</w:t>
            </w:r>
            <w:r>
              <w:t>b</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4</w:t>
            </w:r>
          </w:p>
        </w:tc>
        <w:tc>
          <w:tcPr>
            <w:tcW w:w="1298" w:type="dxa"/>
            <w:noWrap w:val="0"/>
            <w:vAlign w:val="center"/>
          </w:tcPr>
          <w:p>
            <w:pPr>
              <w:pStyle w:val="18"/>
            </w:pPr>
            <w:r>
              <w:t>立昌科技</w:t>
            </w:r>
          </w:p>
        </w:tc>
        <w:tc>
          <w:tcPr>
            <w:tcW w:w="1173" w:type="dxa"/>
            <w:noWrap w:val="0"/>
            <w:vAlign w:val="center"/>
          </w:tcPr>
          <w:p>
            <w:pPr>
              <w:pStyle w:val="18"/>
            </w:pPr>
            <w:r>
              <w:t>电子产品</w:t>
            </w:r>
          </w:p>
        </w:tc>
        <w:tc>
          <w:tcPr>
            <w:tcW w:w="672" w:type="dxa"/>
            <w:noWrap w:val="0"/>
            <w:vAlign w:val="center"/>
          </w:tcPr>
          <w:p>
            <w:pPr>
              <w:pStyle w:val="18"/>
            </w:pPr>
            <w:r>
              <w:t>120</w:t>
            </w:r>
          </w:p>
        </w:tc>
        <w:tc>
          <w:tcPr>
            <w:tcW w:w="756" w:type="dxa"/>
            <w:tcBorders>
              <w:right w:val="single" w:color="auto" w:sz="4" w:space="0"/>
            </w:tcBorders>
            <w:noWrap w:val="0"/>
            <w:vAlign w:val="center"/>
          </w:tcPr>
          <w:p>
            <w:pPr>
              <w:pStyle w:val="18"/>
            </w:pPr>
            <w:r>
              <w:t>62</w:t>
            </w:r>
          </w:p>
        </w:tc>
        <w:tc>
          <w:tcPr>
            <w:tcW w:w="754" w:type="dxa"/>
            <w:tcBorders>
              <w:left w:val="single" w:color="auto" w:sz="4" w:space="0"/>
              <w:right w:val="single" w:color="auto" w:sz="4" w:space="0"/>
            </w:tcBorders>
            <w:noWrap w:val="0"/>
            <w:vAlign w:val="center"/>
          </w:tcPr>
          <w:p>
            <w:pPr>
              <w:pStyle w:val="18"/>
            </w:pPr>
            <w:r>
              <w:t>50</w:t>
            </w:r>
          </w:p>
        </w:tc>
        <w:tc>
          <w:tcPr>
            <w:tcW w:w="756" w:type="dxa"/>
            <w:tcBorders>
              <w:left w:val="single" w:color="auto" w:sz="4" w:space="0"/>
            </w:tcBorders>
            <w:noWrap w:val="0"/>
            <w:vAlign w:val="center"/>
          </w:tcPr>
          <w:p>
            <w:pPr>
              <w:pStyle w:val="18"/>
            </w:pPr>
            <w:r>
              <w:t>12</w:t>
            </w:r>
          </w:p>
        </w:tc>
        <w:tc>
          <w:tcPr>
            <w:tcW w:w="2508" w:type="dxa"/>
            <w:noWrap w:val="0"/>
            <w:vAlign w:val="center"/>
          </w:tcPr>
          <w:p>
            <w:pPr>
              <w:pStyle w:val="18"/>
              <w:rPr>
                <w:rFonts w:hint="eastAsia"/>
              </w:rPr>
            </w:pPr>
            <w:r>
              <w:t>COD、NH</w:t>
            </w:r>
            <w:r>
              <w:rPr>
                <w:vertAlign w:val="subscript"/>
              </w:rPr>
              <w:t>3</w:t>
            </w:r>
            <w:r>
              <w:t>-N、SS</w:t>
            </w:r>
            <w:r>
              <w:rPr>
                <w:rFonts w:hint="eastAsia"/>
              </w:rPr>
              <w:t>、苯</w:t>
            </w:r>
            <w:r>
              <w:t>类、</w:t>
            </w:r>
            <w:r>
              <w:rPr>
                <w:rFonts w:hint="eastAsia"/>
              </w:rPr>
              <w:t>Cu、C</w:t>
            </w:r>
            <w:r>
              <w:t>d</w:t>
            </w:r>
            <w:r>
              <w:rPr>
                <w:rFonts w:hint="eastAsia"/>
              </w:rPr>
              <w:t>、P</w:t>
            </w:r>
            <w:r>
              <w:t>b</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5</w:t>
            </w:r>
          </w:p>
        </w:tc>
        <w:tc>
          <w:tcPr>
            <w:tcW w:w="1298" w:type="dxa"/>
            <w:noWrap w:val="0"/>
            <w:vAlign w:val="center"/>
          </w:tcPr>
          <w:p>
            <w:pPr>
              <w:pStyle w:val="18"/>
            </w:pPr>
            <w:r>
              <w:t>光华有色</w:t>
            </w:r>
          </w:p>
        </w:tc>
        <w:tc>
          <w:tcPr>
            <w:tcW w:w="1173" w:type="dxa"/>
            <w:noWrap w:val="0"/>
            <w:vAlign w:val="center"/>
          </w:tcPr>
          <w:p>
            <w:pPr>
              <w:pStyle w:val="18"/>
            </w:pPr>
            <w:r>
              <w:t>钨粉</w:t>
            </w:r>
          </w:p>
        </w:tc>
        <w:tc>
          <w:tcPr>
            <w:tcW w:w="672" w:type="dxa"/>
            <w:noWrap w:val="0"/>
            <w:vAlign w:val="center"/>
          </w:tcPr>
          <w:p>
            <w:pPr>
              <w:pStyle w:val="18"/>
            </w:pPr>
            <w:r>
              <w:t>40</w:t>
            </w:r>
          </w:p>
        </w:tc>
        <w:tc>
          <w:tcPr>
            <w:tcW w:w="756" w:type="dxa"/>
            <w:tcBorders>
              <w:right w:val="single" w:color="auto" w:sz="4" w:space="0"/>
            </w:tcBorders>
            <w:noWrap w:val="0"/>
            <w:vAlign w:val="center"/>
          </w:tcPr>
          <w:p>
            <w:pPr>
              <w:pStyle w:val="18"/>
            </w:pPr>
            <w:r>
              <w:t>64</w:t>
            </w:r>
          </w:p>
        </w:tc>
        <w:tc>
          <w:tcPr>
            <w:tcW w:w="754" w:type="dxa"/>
            <w:tcBorders>
              <w:left w:val="single" w:color="auto" w:sz="4" w:space="0"/>
              <w:right w:val="single" w:color="auto" w:sz="4" w:space="0"/>
            </w:tcBorders>
            <w:noWrap w:val="0"/>
            <w:vAlign w:val="center"/>
          </w:tcPr>
          <w:p>
            <w:pPr>
              <w:pStyle w:val="18"/>
            </w:pPr>
            <w:r>
              <w:t>60</w:t>
            </w:r>
          </w:p>
        </w:tc>
        <w:tc>
          <w:tcPr>
            <w:tcW w:w="756" w:type="dxa"/>
            <w:tcBorders>
              <w:left w:val="single" w:color="auto" w:sz="4" w:space="0"/>
            </w:tcBorders>
            <w:noWrap w:val="0"/>
            <w:vAlign w:val="center"/>
          </w:tcPr>
          <w:p>
            <w:pPr>
              <w:pStyle w:val="18"/>
            </w:pPr>
            <w:r>
              <w:t>4</w:t>
            </w:r>
          </w:p>
        </w:tc>
        <w:tc>
          <w:tcPr>
            <w:tcW w:w="2508" w:type="dxa"/>
            <w:noWrap w:val="0"/>
            <w:vAlign w:val="center"/>
          </w:tcPr>
          <w:p>
            <w:pPr>
              <w:pStyle w:val="18"/>
              <w:rPr>
                <w:rFonts w:hint="eastAsia"/>
              </w:rPr>
            </w:pPr>
            <w:r>
              <w:t>COD、NH</w:t>
            </w:r>
            <w:r>
              <w:rPr>
                <w:vertAlign w:val="subscript"/>
              </w:rPr>
              <w:t>3</w:t>
            </w:r>
            <w:r>
              <w:t>-N、SS</w:t>
            </w:r>
            <w:r>
              <w:rPr>
                <w:rFonts w:hint="eastAsia"/>
              </w:rPr>
              <w:t>、氯化物、硫酸盐等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6</w:t>
            </w:r>
          </w:p>
        </w:tc>
        <w:tc>
          <w:tcPr>
            <w:tcW w:w="1298" w:type="dxa"/>
            <w:noWrap w:val="0"/>
            <w:vAlign w:val="center"/>
          </w:tcPr>
          <w:p>
            <w:pPr>
              <w:pStyle w:val="18"/>
            </w:pPr>
            <w:r>
              <w:t>大田精密</w:t>
            </w:r>
          </w:p>
        </w:tc>
        <w:tc>
          <w:tcPr>
            <w:tcW w:w="1173" w:type="dxa"/>
            <w:noWrap w:val="0"/>
            <w:vAlign w:val="center"/>
          </w:tcPr>
          <w:p>
            <w:pPr>
              <w:pStyle w:val="18"/>
            </w:pPr>
            <w:r>
              <w:t>高尔夫球杆</w:t>
            </w:r>
          </w:p>
        </w:tc>
        <w:tc>
          <w:tcPr>
            <w:tcW w:w="672" w:type="dxa"/>
            <w:noWrap w:val="0"/>
            <w:vAlign w:val="center"/>
          </w:tcPr>
          <w:p>
            <w:pPr>
              <w:pStyle w:val="18"/>
            </w:pPr>
            <w:r>
              <w:t>1300</w:t>
            </w:r>
          </w:p>
        </w:tc>
        <w:tc>
          <w:tcPr>
            <w:tcW w:w="756" w:type="dxa"/>
            <w:tcBorders>
              <w:right w:val="single" w:color="auto" w:sz="4" w:space="0"/>
            </w:tcBorders>
            <w:noWrap w:val="0"/>
            <w:vAlign w:val="center"/>
          </w:tcPr>
          <w:p>
            <w:pPr>
              <w:pStyle w:val="18"/>
            </w:pPr>
            <w:r>
              <w:t>900</w:t>
            </w:r>
          </w:p>
        </w:tc>
        <w:tc>
          <w:tcPr>
            <w:tcW w:w="754" w:type="dxa"/>
            <w:tcBorders>
              <w:left w:val="single" w:color="auto" w:sz="4" w:space="0"/>
              <w:right w:val="single" w:color="auto" w:sz="4" w:space="0"/>
            </w:tcBorders>
            <w:noWrap w:val="0"/>
            <w:vAlign w:val="center"/>
          </w:tcPr>
          <w:p>
            <w:pPr>
              <w:pStyle w:val="18"/>
            </w:pPr>
            <w:r>
              <w:t>800</w:t>
            </w:r>
          </w:p>
        </w:tc>
        <w:tc>
          <w:tcPr>
            <w:tcW w:w="756" w:type="dxa"/>
            <w:tcBorders>
              <w:left w:val="single" w:color="auto" w:sz="4" w:space="0"/>
            </w:tcBorders>
            <w:noWrap w:val="0"/>
            <w:vAlign w:val="center"/>
          </w:tcPr>
          <w:p>
            <w:pPr>
              <w:pStyle w:val="18"/>
            </w:pPr>
            <w:r>
              <w:t>100</w:t>
            </w:r>
          </w:p>
        </w:tc>
        <w:tc>
          <w:tcPr>
            <w:tcW w:w="2508" w:type="dxa"/>
            <w:noWrap w:val="0"/>
            <w:vAlign w:val="center"/>
          </w:tcPr>
          <w:p>
            <w:pPr>
              <w:pStyle w:val="18"/>
              <w:rPr>
                <w:rFonts w:hint="eastAsia"/>
              </w:rPr>
            </w:pPr>
            <w:r>
              <w:t>COD、NH</w:t>
            </w:r>
            <w:r>
              <w:rPr>
                <w:vertAlign w:val="subscript"/>
              </w:rPr>
              <w:t>3</w:t>
            </w:r>
            <w:r>
              <w:t>-N、SS</w:t>
            </w:r>
            <w:r>
              <w:rPr>
                <w:rFonts w:hint="eastAsia"/>
              </w:rPr>
              <w:t>、苯</w:t>
            </w:r>
            <w:r>
              <w:t>类、</w:t>
            </w:r>
            <w:r>
              <w:rPr>
                <w:rFonts w:hint="eastAsia"/>
              </w:rPr>
              <w:t>Cu、C</w:t>
            </w:r>
            <w:r>
              <w:t>d</w:t>
            </w:r>
            <w:r>
              <w:rPr>
                <w:rFonts w:hint="eastAsia"/>
              </w:rPr>
              <w:t>、P</w:t>
            </w:r>
            <w:r>
              <w:t>b</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7</w:t>
            </w:r>
          </w:p>
        </w:tc>
        <w:tc>
          <w:tcPr>
            <w:tcW w:w="1298" w:type="dxa"/>
            <w:noWrap w:val="0"/>
            <w:vAlign w:val="center"/>
          </w:tcPr>
          <w:p>
            <w:pPr>
              <w:pStyle w:val="18"/>
            </w:pPr>
            <w:r>
              <w:t>钜磁科技</w:t>
            </w:r>
          </w:p>
        </w:tc>
        <w:tc>
          <w:tcPr>
            <w:tcW w:w="1173" w:type="dxa"/>
            <w:noWrap w:val="0"/>
            <w:vAlign w:val="center"/>
          </w:tcPr>
          <w:p>
            <w:pPr>
              <w:pStyle w:val="18"/>
            </w:pPr>
            <w:r>
              <w:t>磁性材料</w:t>
            </w:r>
          </w:p>
        </w:tc>
        <w:tc>
          <w:tcPr>
            <w:tcW w:w="672" w:type="dxa"/>
            <w:noWrap w:val="0"/>
            <w:vAlign w:val="center"/>
          </w:tcPr>
          <w:p>
            <w:pPr>
              <w:pStyle w:val="18"/>
            </w:pPr>
            <w:r>
              <w:t>160</w:t>
            </w:r>
          </w:p>
        </w:tc>
        <w:tc>
          <w:tcPr>
            <w:tcW w:w="756" w:type="dxa"/>
            <w:tcBorders>
              <w:right w:val="single" w:color="auto" w:sz="4" w:space="0"/>
            </w:tcBorders>
            <w:noWrap w:val="0"/>
            <w:vAlign w:val="center"/>
          </w:tcPr>
          <w:p>
            <w:pPr>
              <w:pStyle w:val="18"/>
            </w:pPr>
            <w:r>
              <w:t>67.5</w:t>
            </w:r>
          </w:p>
        </w:tc>
        <w:tc>
          <w:tcPr>
            <w:tcW w:w="754" w:type="dxa"/>
            <w:tcBorders>
              <w:left w:val="single" w:color="auto" w:sz="4" w:space="0"/>
              <w:right w:val="single" w:color="auto" w:sz="4" w:space="0"/>
            </w:tcBorders>
            <w:noWrap w:val="0"/>
            <w:vAlign w:val="center"/>
          </w:tcPr>
          <w:p>
            <w:pPr>
              <w:pStyle w:val="18"/>
            </w:pPr>
            <w:r>
              <w:t>50</w:t>
            </w:r>
          </w:p>
        </w:tc>
        <w:tc>
          <w:tcPr>
            <w:tcW w:w="756" w:type="dxa"/>
            <w:tcBorders>
              <w:left w:val="single" w:color="auto" w:sz="4" w:space="0"/>
            </w:tcBorders>
            <w:noWrap w:val="0"/>
            <w:vAlign w:val="center"/>
          </w:tcPr>
          <w:p>
            <w:pPr>
              <w:pStyle w:val="18"/>
            </w:pPr>
            <w:r>
              <w:t>17.5</w:t>
            </w:r>
          </w:p>
        </w:tc>
        <w:tc>
          <w:tcPr>
            <w:tcW w:w="2508" w:type="dxa"/>
            <w:noWrap w:val="0"/>
            <w:vAlign w:val="center"/>
          </w:tcPr>
          <w:p>
            <w:pPr>
              <w:pStyle w:val="18"/>
              <w:rPr>
                <w:rFonts w:hint="eastAsia"/>
              </w:rPr>
            </w:pPr>
            <w:r>
              <w:t>COD、NH</w:t>
            </w:r>
            <w:r>
              <w:rPr>
                <w:vertAlign w:val="subscript"/>
              </w:rPr>
              <w:t>3</w:t>
            </w:r>
            <w:r>
              <w:t>-N、SS</w:t>
            </w:r>
            <w:r>
              <w:rPr>
                <w:rFonts w:hint="eastAsia"/>
              </w:rPr>
              <w:t>、</w:t>
            </w:r>
            <w:r>
              <w:t>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8</w:t>
            </w:r>
          </w:p>
        </w:tc>
        <w:tc>
          <w:tcPr>
            <w:tcW w:w="1298" w:type="dxa"/>
            <w:noWrap w:val="0"/>
            <w:vAlign w:val="center"/>
          </w:tcPr>
          <w:p>
            <w:pPr>
              <w:pStyle w:val="18"/>
            </w:pPr>
            <w:r>
              <w:t>家家乐</w:t>
            </w:r>
          </w:p>
        </w:tc>
        <w:tc>
          <w:tcPr>
            <w:tcW w:w="1173" w:type="dxa"/>
            <w:noWrap w:val="0"/>
            <w:vAlign w:val="center"/>
          </w:tcPr>
          <w:p>
            <w:pPr>
              <w:pStyle w:val="18"/>
            </w:pPr>
            <w:r>
              <w:t>防盗门窗</w:t>
            </w:r>
          </w:p>
        </w:tc>
        <w:tc>
          <w:tcPr>
            <w:tcW w:w="672" w:type="dxa"/>
            <w:noWrap w:val="0"/>
            <w:vAlign w:val="center"/>
          </w:tcPr>
          <w:p>
            <w:pPr>
              <w:pStyle w:val="18"/>
            </w:pPr>
            <w:r>
              <w:t>30</w:t>
            </w:r>
          </w:p>
        </w:tc>
        <w:tc>
          <w:tcPr>
            <w:tcW w:w="756" w:type="dxa"/>
            <w:tcBorders>
              <w:right w:val="single" w:color="auto" w:sz="4" w:space="0"/>
            </w:tcBorders>
            <w:noWrap w:val="0"/>
            <w:vAlign w:val="center"/>
          </w:tcPr>
          <w:p>
            <w:pPr>
              <w:pStyle w:val="18"/>
            </w:pPr>
            <w:r>
              <w:t>63.3</w:t>
            </w:r>
          </w:p>
        </w:tc>
        <w:tc>
          <w:tcPr>
            <w:tcW w:w="754" w:type="dxa"/>
            <w:tcBorders>
              <w:left w:val="single" w:color="auto" w:sz="4" w:space="0"/>
              <w:right w:val="single" w:color="auto" w:sz="4" w:space="0"/>
            </w:tcBorders>
            <w:noWrap w:val="0"/>
            <w:vAlign w:val="center"/>
          </w:tcPr>
          <w:p>
            <w:pPr>
              <w:pStyle w:val="18"/>
            </w:pPr>
            <w:r>
              <w:t>60</w:t>
            </w:r>
          </w:p>
        </w:tc>
        <w:tc>
          <w:tcPr>
            <w:tcW w:w="756" w:type="dxa"/>
            <w:tcBorders>
              <w:left w:val="single" w:color="auto" w:sz="4" w:space="0"/>
            </w:tcBorders>
            <w:noWrap w:val="0"/>
            <w:vAlign w:val="center"/>
          </w:tcPr>
          <w:p>
            <w:pPr>
              <w:pStyle w:val="18"/>
            </w:pPr>
            <w:r>
              <w:t>3.3</w:t>
            </w:r>
          </w:p>
        </w:tc>
        <w:tc>
          <w:tcPr>
            <w:tcW w:w="2508" w:type="dxa"/>
            <w:noWrap w:val="0"/>
            <w:vAlign w:val="center"/>
          </w:tcPr>
          <w:p>
            <w:pPr>
              <w:pStyle w:val="18"/>
              <w:rPr>
                <w:rFonts w:hint="eastAsia"/>
              </w:rPr>
            </w:pPr>
            <w:r>
              <w:t>COD、NH</w:t>
            </w:r>
            <w:r>
              <w:rPr>
                <w:vertAlign w:val="subscript"/>
              </w:rPr>
              <w:t>3</w:t>
            </w:r>
            <w:r>
              <w:t>-N、SS</w:t>
            </w:r>
            <w:r>
              <w:rPr>
                <w:rFonts w:hint="eastAsia"/>
              </w:rPr>
              <w:t>、苯</w:t>
            </w:r>
            <w:r>
              <w:t>类、</w:t>
            </w:r>
            <w:r>
              <w:rPr>
                <w:rFonts w:hint="eastAsia"/>
              </w:rPr>
              <w:t>Cu、C</w:t>
            </w:r>
            <w:r>
              <w:t>d</w:t>
            </w:r>
            <w:r>
              <w:rPr>
                <w:rFonts w:hint="eastAsia"/>
              </w:rPr>
              <w:t>、P</w:t>
            </w:r>
            <w:r>
              <w:t>b</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9</w:t>
            </w:r>
          </w:p>
        </w:tc>
        <w:tc>
          <w:tcPr>
            <w:tcW w:w="1298" w:type="dxa"/>
            <w:noWrap w:val="0"/>
            <w:vAlign w:val="center"/>
          </w:tcPr>
          <w:p>
            <w:pPr>
              <w:pStyle w:val="18"/>
            </w:pPr>
            <w:r>
              <w:t>佳泰药业</w:t>
            </w:r>
          </w:p>
        </w:tc>
        <w:tc>
          <w:tcPr>
            <w:tcW w:w="1173" w:type="dxa"/>
            <w:noWrap w:val="0"/>
            <w:vAlign w:val="center"/>
          </w:tcPr>
          <w:p>
            <w:pPr>
              <w:pStyle w:val="18"/>
            </w:pPr>
            <w:r>
              <w:t>化学、生物制药</w:t>
            </w:r>
          </w:p>
        </w:tc>
        <w:tc>
          <w:tcPr>
            <w:tcW w:w="672" w:type="dxa"/>
            <w:noWrap w:val="0"/>
            <w:vAlign w:val="center"/>
          </w:tcPr>
          <w:p>
            <w:pPr>
              <w:pStyle w:val="18"/>
            </w:pPr>
            <w:r>
              <w:t>300</w:t>
            </w:r>
          </w:p>
        </w:tc>
        <w:tc>
          <w:tcPr>
            <w:tcW w:w="756" w:type="dxa"/>
            <w:tcBorders>
              <w:right w:val="single" w:color="auto" w:sz="4" w:space="0"/>
            </w:tcBorders>
            <w:noWrap w:val="0"/>
            <w:vAlign w:val="center"/>
          </w:tcPr>
          <w:p>
            <w:pPr>
              <w:pStyle w:val="18"/>
            </w:pPr>
            <w:r>
              <w:t>735</w:t>
            </w:r>
          </w:p>
        </w:tc>
        <w:tc>
          <w:tcPr>
            <w:tcW w:w="754" w:type="dxa"/>
            <w:tcBorders>
              <w:left w:val="single" w:color="auto" w:sz="4" w:space="0"/>
              <w:right w:val="single" w:color="auto" w:sz="4" w:space="0"/>
            </w:tcBorders>
            <w:noWrap w:val="0"/>
            <w:vAlign w:val="center"/>
          </w:tcPr>
          <w:p>
            <w:pPr>
              <w:pStyle w:val="18"/>
            </w:pPr>
            <w:r>
              <w:t>700</w:t>
            </w:r>
          </w:p>
        </w:tc>
        <w:tc>
          <w:tcPr>
            <w:tcW w:w="756" w:type="dxa"/>
            <w:tcBorders>
              <w:left w:val="single" w:color="auto" w:sz="4" w:space="0"/>
            </w:tcBorders>
            <w:noWrap w:val="0"/>
            <w:vAlign w:val="center"/>
          </w:tcPr>
          <w:p>
            <w:pPr>
              <w:pStyle w:val="18"/>
            </w:pPr>
            <w:r>
              <w:t>35</w:t>
            </w:r>
          </w:p>
        </w:tc>
        <w:tc>
          <w:tcPr>
            <w:tcW w:w="2508" w:type="dxa"/>
            <w:noWrap w:val="0"/>
            <w:vAlign w:val="center"/>
          </w:tcPr>
          <w:p>
            <w:pPr>
              <w:pStyle w:val="18"/>
              <w:rPr>
                <w:rFonts w:hint="eastAsia"/>
              </w:rPr>
            </w:pPr>
            <w:r>
              <w:t>COD、NH</w:t>
            </w:r>
            <w:r>
              <w:rPr>
                <w:vertAlign w:val="subscript"/>
              </w:rPr>
              <w:t>3</w:t>
            </w:r>
            <w:r>
              <w:t>-N、SS</w:t>
            </w:r>
            <w:r>
              <w:rPr>
                <w:rFonts w:hint="eastAsia"/>
              </w:rPr>
              <w:t>、</w:t>
            </w:r>
            <w:r>
              <w:t>石油类、硝基苯类、水温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10</w:t>
            </w:r>
          </w:p>
        </w:tc>
        <w:tc>
          <w:tcPr>
            <w:tcW w:w="1298" w:type="dxa"/>
            <w:noWrap w:val="0"/>
            <w:vAlign w:val="center"/>
          </w:tcPr>
          <w:p>
            <w:pPr>
              <w:pStyle w:val="18"/>
            </w:pPr>
            <w:r>
              <w:t>中星</w:t>
            </w:r>
          </w:p>
        </w:tc>
        <w:tc>
          <w:tcPr>
            <w:tcW w:w="1173" w:type="dxa"/>
            <w:noWrap w:val="0"/>
            <w:vAlign w:val="center"/>
          </w:tcPr>
          <w:p>
            <w:pPr>
              <w:pStyle w:val="18"/>
            </w:pPr>
            <w:r>
              <w:t>高能电池</w:t>
            </w:r>
          </w:p>
        </w:tc>
        <w:tc>
          <w:tcPr>
            <w:tcW w:w="672" w:type="dxa"/>
            <w:noWrap w:val="0"/>
            <w:vAlign w:val="center"/>
          </w:tcPr>
          <w:p>
            <w:pPr>
              <w:pStyle w:val="18"/>
            </w:pPr>
            <w:r>
              <w:t>1200</w:t>
            </w:r>
          </w:p>
        </w:tc>
        <w:tc>
          <w:tcPr>
            <w:tcW w:w="756" w:type="dxa"/>
            <w:tcBorders>
              <w:right w:val="single" w:color="auto" w:sz="4" w:space="0"/>
            </w:tcBorders>
            <w:noWrap w:val="0"/>
            <w:vAlign w:val="center"/>
          </w:tcPr>
          <w:p>
            <w:pPr>
              <w:pStyle w:val="18"/>
            </w:pPr>
            <w:r>
              <w:t>465</w:t>
            </w:r>
          </w:p>
        </w:tc>
        <w:tc>
          <w:tcPr>
            <w:tcW w:w="754" w:type="dxa"/>
            <w:tcBorders>
              <w:left w:val="single" w:color="auto" w:sz="4" w:space="0"/>
              <w:right w:val="single" w:color="auto" w:sz="4" w:space="0"/>
            </w:tcBorders>
            <w:noWrap w:val="0"/>
            <w:vAlign w:val="center"/>
          </w:tcPr>
          <w:p>
            <w:pPr>
              <w:pStyle w:val="18"/>
            </w:pPr>
            <w:r>
              <w:t>300</w:t>
            </w:r>
          </w:p>
        </w:tc>
        <w:tc>
          <w:tcPr>
            <w:tcW w:w="756" w:type="dxa"/>
            <w:tcBorders>
              <w:left w:val="single" w:color="auto" w:sz="4" w:space="0"/>
            </w:tcBorders>
            <w:noWrap w:val="0"/>
            <w:vAlign w:val="center"/>
          </w:tcPr>
          <w:p>
            <w:pPr>
              <w:pStyle w:val="18"/>
            </w:pPr>
            <w:r>
              <w:t>165</w:t>
            </w:r>
          </w:p>
        </w:tc>
        <w:tc>
          <w:tcPr>
            <w:tcW w:w="2508" w:type="dxa"/>
            <w:noWrap w:val="0"/>
            <w:vAlign w:val="center"/>
          </w:tcPr>
          <w:p>
            <w:pPr>
              <w:pStyle w:val="18"/>
              <w:rPr>
                <w:rFonts w:hint="eastAsia"/>
              </w:rPr>
            </w:pPr>
            <w:r>
              <w:t>COD、NH</w:t>
            </w:r>
            <w:r>
              <w:rPr>
                <w:vertAlign w:val="subscript"/>
              </w:rPr>
              <w:t>3</w:t>
            </w:r>
            <w:r>
              <w:t>-N、SS</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13</w:t>
            </w:r>
          </w:p>
        </w:tc>
        <w:tc>
          <w:tcPr>
            <w:tcW w:w="1298" w:type="dxa"/>
            <w:noWrap w:val="0"/>
            <w:vAlign w:val="center"/>
          </w:tcPr>
          <w:p>
            <w:pPr>
              <w:pStyle w:val="18"/>
            </w:pPr>
            <w:r>
              <w:t>海欣药业</w:t>
            </w:r>
          </w:p>
        </w:tc>
        <w:tc>
          <w:tcPr>
            <w:tcW w:w="1173" w:type="dxa"/>
            <w:noWrap w:val="0"/>
            <w:vAlign w:val="center"/>
          </w:tcPr>
          <w:p>
            <w:pPr>
              <w:pStyle w:val="18"/>
            </w:pPr>
            <w:r>
              <w:t>生物制药</w:t>
            </w:r>
          </w:p>
        </w:tc>
        <w:tc>
          <w:tcPr>
            <w:tcW w:w="672" w:type="dxa"/>
            <w:noWrap w:val="0"/>
            <w:vAlign w:val="center"/>
          </w:tcPr>
          <w:p>
            <w:pPr>
              <w:pStyle w:val="18"/>
            </w:pPr>
            <w:r>
              <w:t>750</w:t>
            </w:r>
          </w:p>
        </w:tc>
        <w:tc>
          <w:tcPr>
            <w:tcW w:w="756" w:type="dxa"/>
            <w:tcBorders>
              <w:right w:val="single" w:color="auto" w:sz="4" w:space="0"/>
            </w:tcBorders>
            <w:noWrap w:val="0"/>
            <w:vAlign w:val="center"/>
          </w:tcPr>
          <w:p>
            <w:pPr>
              <w:pStyle w:val="18"/>
            </w:pPr>
            <w:r>
              <w:t>1300</w:t>
            </w:r>
          </w:p>
        </w:tc>
        <w:tc>
          <w:tcPr>
            <w:tcW w:w="754" w:type="dxa"/>
            <w:tcBorders>
              <w:left w:val="single" w:color="auto" w:sz="4" w:space="0"/>
              <w:right w:val="single" w:color="auto" w:sz="4" w:space="0"/>
            </w:tcBorders>
            <w:noWrap w:val="0"/>
            <w:vAlign w:val="center"/>
          </w:tcPr>
          <w:p>
            <w:pPr>
              <w:pStyle w:val="18"/>
            </w:pPr>
            <w:r>
              <w:t>1200</w:t>
            </w:r>
          </w:p>
        </w:tc>
        <w:tc>
          <w:tcPr>
            <w:tcW w:w="756" w:type="dxa"/>
            <w:tcBorders>
              <w:left w:val="single" w:color="auto" w:sz="4" w:space="0"/>
            </w:tcBorders>
            <w:noWrap w:val="0"/>
            <w:vAlign w:val="center"/>
          </w:tcPr>
          <w:p>
            <w:pPr>
              <w:pStyle w:val="18"/>
            </w:pPr>
            <w:r>
              <w:t>100</w:t>
            </w:r>
          </w:p>
        </w:tc>
        <w:tc>
          <w:tcPr>
            <w:tcW w:w="2508" w:type="dxa"/>
            <w:noWrap w:val="0"/>
            <w:vAlign w:val="center"/>
          </w:tcPr>
          <w:p>
            <w:pPr>
              <w:pStyle w:val="18"/>
            </w:pPr>
            <w:r>
              <w:t>COD、NH</w:t>
            </w:r>
            <w:r>
              <w:rPr>
                <w:vertAlign w:val="subscript"/>
              </w:rPr>
              <w:t>3</w:t>
            </w:r>
            <w:r>
              <w:t>-N、SS</w:t>
            </w:r>
            <w:r>
              <w:rPr>
                <w:rFonts w:hint="eastAsia"/>
              </w:rPr>
              <w:t>、</w:t>
            </w:r>
            <w:r>
              <w:t>石油类、硝基苯类、水温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14</w:t>
            </w:r>
          </w:p>
        </w:tc>
        <w:tc>
          <w:tcPr>
            <w:tcW w:w="1298" w:type="dxa"/>
            <w:noWrap w:val="0"/>
            <w:vAlign w:val="center"/>
          </w:tcPr>
          <w:p>
            <w:pPr>
              <w:pStyle w:val="18"/>
            </w:pPr>
            <w:r>
              <w:t>山香药业</w:t>
            </w:r>
          </w:p>
        </w:tc>
        <w:tc>
          <w:tcPr>
            <w:tcW w:w="1173" w:type="dxa"/>
            <w:noWrap w:val="0"/>
            <w:vAlign w:val="center"/>
          </w:tcPr>
          <w:p>
            <w:pPr>
              <w:pStyle w:val="18"/>
            </w:pPr>
            <w:r>
              <w:t>医药</w:t>
            </w:r>
          </w:p>
        </w:tc>
        <w:tc>
          <w:tcPr>
            <w:tcW w:w="672" w:type="dxa"/>
            <w:noWrap w:val="0"/>
            <w:vAlign w:val="center"/>
          </w:tcPr>
          <w:p>
            <w:pPr>
              <w:pStyle w:val="18"/>
            </w:pPr>
            <w:r>
              <w:t>120</w:t>
            </w:r>
          </w:p>
        </w:tc>
        <w:tc>
          <w:tcPr>
            <w:tcW w:w="756" w:type="dxa"/>
            <w:tcBorders>
              <w:right w:val="single" w:color="auto" w:sz="4" w:space="0"/>
            </w:tcBorders>
            <w:noWrap w:val="0"/>
            <w:vAlign w:val="center"/>
          </w:tcPr>
          <w:p>
            <w:pPr>
              <w:pStyle w:val="18"/>
            </w:pPr>
            <w:r>
              <w:t>313</w:t>
            </w:r>
          </w:p>
        </w:tc>
        <w:tc>
          <w:tcPr>
            <w:tcW w:w="754" w:type="dxa"/>
            <w:tcBorders>
              <w:left w:val="single" w:color="auto" w:sz="4" w:space="0"/>
              <w:right w:val="single" w:color="auto" w:sz="4" w:space="0"/>
            </w:tcBorders>
            <w:noWrap w:val="0"/>
            <w:vAlign w:val="center"/>
          </w:tcPr>
          <w:p>
            <w:pPr>
              <w:pStyle w:val="18"/>
            </w:pPr>
            <w:r>
              <w:t>300</w:t>
            </w:r>
          </w:p>
        </w:tc>
        <w:tc>
          <w:tcPr>
            <w:tcW w:w="756" w:type="dxa"/>
            <w:tcBorders>
              <w:left w:val="single" w:color="auto" w:sz="4" w:space="0"/>
            </w:tcBorders>
            <w:noWrap w:val="0"/>
            <w:vAlign w:val="center"/>
          </w:tcPr>
          <w:p>
            <w:pPr>
              <w:pStyle w:val="18"/>
            </w:pPr>
            <w:r>
              <w:t>13</w:t>
            </w:r>
          </w:p>
        </w:tc>
        <w:tc>
          <w:tcPr>
            <w:tcW w:w="2508" w:type="dxa"/>
            <w:noWrap w:val="0"/>
            <w:vAlign w:val="center"/>
          </w:tcPr>
          <w:p>
            <w:pPr>
              <w:pStyle w:val="18"/>
            </w:pPr>
            <w:r>
              <w:t>COD、NH</w:t>
            </w:r>
            <w:r>
              <w:rPr>
                <w:vertAlign w:val="subscript"/>
              </w:rPr>
              <w:t>3</w:t>
            </w:r>
            <w:r>
              <w:t>-N、SS</w:t>
            </w:r>
            <w:r>
              <w:rPr>
                <w:rFonts w:hint="eastAsia"/>
              </w:rPr>
              <w:t>、</w:t>
            </w:r>
            <w:r>
              <w:t>石油类、硝基苯类、水温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15</w:t>
            </w:r>
          </w:p>
        </w:tc>
        <w:tc>
          <w:tcPr>
            <w:tcW w:w="1298" w:type="dxa"/>
            <w:noWrap w:val="0"/>
            <w:vAlign w:val="center"/>
          </w:tcPr>
          <w:p>
            <w:pPr>
              <w:pStyle w:val="18"/>
            </w:pPr>
            <w:r>
              <w:t>汉氏联合</w:t>
            </w:r>
          </w:p>
        </w:tc>
        <w:tc>
          <w:tcPr>
            <w:tcW w:w="1173" w:type="dxa"/>
            <w:noWrap w:val="0"/>
            <w:vAlign w:val="center"/>
          </w:tcPr>
          <w:p>
            <w:pPr>
              <w:pStyle w:val="18"/>
            </w:pPr>
            <w:r>
              <w:t>医药/生物工程</w:t>
            </w:r>
          </w:p>
        </w:tc>
        <w:tc>
          <w:tcPr>
            <w:tcW w:w="672" w:type="dxa"/>
            <w:noWrap w:val="0"/>
            <w:vAlign w:val="center"/>
          </w:tcPr>
          <w:p>
            <w:pPr>
              <w:pStyle w:val="18"/>
            </w:pPr>
            <w:r>
              <w:t>220</w:t>
            </w:r>
          </w:p>
        </w:tc>
        <w:tc>
          <w:tcPr>
            <w:tcW w:w="756" w:type="dxa"/>
            <w:tcBorders>
              <w:right w:val="single" w:color="auto" w:sz="4" w:space="0"/>
            </w:tcBorders>
            <w:noWrap w:val="0"/>
            <w:vAlign w:val="center"/>
          </w:tcPr>
          <w:p>
            <w:pPr>
              <w:pStyle w:val="18"/>
            </w:pPr>
            <w:r>
              <w:t>388</w:t>
            </w:r>
          </w:p>
        </w:tc>
        <w:tc>
          <w:tcPr>
            <w:tcW w:w="754" w:type="dxa"/>
            <w:tcBorders>
              <w:left w:val="single" w:color="auto" w:sz="4" w:space="0"/>
              <w:right w:val="single" w:color="auto" w:sz="4" w:space="0"/>
            </w:tcBorders>
            <w:noWrap w:val="0"/>
            <w:vAlign w:val="center"/>
          </w:tcPr>
          <w:p>
            <w:pPr>
              <w:pStyle w:val="18"/>
            </w:pPr>
            <w:r>
              <w:t>360</w:t>
            </w:r>
          </w:p>
        </w:tc>
        <w:tc>
          <w:tcPr>
            <w:tcW w:w="756" w:type="dxa"/>
            <w:tcBorders>
              <w:left w:val="single" w:color="auto" w:sz="4" w:space="0"/>
            </w:tcBorders>
            <w:noWrap w:val="0"/>
            <w:vAlign w:val="center"/>
          </w:tcPr>
          <w:p>
            <w:pPr>
              <w:pStyle w:val="18"/>
            </w:pPr>
            <w:r>
              <w:t>28</w:t>
            </w:r>
          </w:p>
        </w:tc>
        <w:tc>
          <w:tcPr>
            <w:tcW w:w="2508" w:type="dxa"/>
            <w:noWrap w:val="0"/>
            <w:vAlign w:val="center"/>
          </w:tcPr>
          <w:p>
            <w:pPr>
              <w:pStyle w:val="18"/>
            </w:pPr>
            <w:r>
              <w:t>COD、NH3-N、SS</w:t>
            </w:r>
            <w:r>
              <w:rPr>
                <w:rFonts w:hint="eastAsia"/>
              </w:rPr>
              <w:t>、</w:t>
            </w:r>
            <w:r>
              <w:t>石油类、硝基苯类、水温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16</w:t>
            </w:r>
          </w:p>
        </w:tc>
        <w:tc>
          <w:tcPr>
            <w:tcW w:w="1298" w:type="dxa"/>
            <w:noWrap w:val="0"/>
            <w:vAlign w:val="center"/>
          </w:tcPr>
          <w:p>
            <w:pPr>
              <w:pStyle w:val="18"/>
            </w:pPr>
            <w:r>
              <w:t>赣南制药</w:t>
            </w:r>
          </w:p>
        </w:tc>
        <w:tc>
          <w:tcPr>
            <w:tcW w:w="1173" w:type="dxa"/>
            <w:noWrap w:val="0"/>
            <w:vAlign w:val="center"/>
          </w:tcPr>
          <w:p>
            <w:pPr>
              <w:pStyle w:val="18"/>
            </w:pPr>
            <w:r>
              <w:t>医药</w:t>
            </w:r>
          </w:p>
        </w:tc>
        <w:tc>
          <w:tcPr>
            <w:tcW w:w="672" w:type="dxa"/>
            <w:noWrap w:val="0"/>
            <w:vAlign w:val="center"/>
          </w:tcPr>
          <w:p>
            <w:pPr>
              <w:pStyle w:val="18"/>
            </w:pPr>
            <w:r>
              <w:t>911</w:t>
            </w:r>
          </w:p>
        </w:tc>
        <w:tc>
          <w:tcPr>
            <w:tcW w:w="756" w:type="dxa"/>
            <w:tcBorders>
              <w:right w:val="single" w:color="auto" w:sz="4" w:space="0"/>
            </w:tcBorders>
            <w:noWrap w:val="0"/>
            <w:vAlign w:val="center"/>
          </w:tcPr>
          <w:p>
            <w:pPr>
              <w:pStyle w:val="18"/>
            </w:pPr>
            <w:r>
              <w:t>1325</w:t>
            </w:r>
          </w:p>
        </w:tc>
        <w:tc>
          <w:tcPr>
            <w:tcW w:w="754" w:type="dxa"/>
            <w:tcBorders>
              <w:left w:val="single" w:color="auto" w:sz="4" w:space="0"/>
              <w:right w:val="single" w:color="auto" w:sz="4" w:space="0"/>
            </w:tcBorders>
            <w:noWrap w:val="0"/>
            <w:vAlign w:val="center"/>
          </w:tcPr>
          <w:p>
            <w:pPr>
              <w:pStyle w:val="18"/>
            </w:pPr>
            <w:r>
              <w:t>1200</w:t>
            </w:r>
          </w:p>
        </w:tc>
        <w:tc>
          <w:tcPr>
            <w:tcW w:w="756" w:type="dxa"/>
            <w:tcBorders>
              <w:left w:val="single" w:color="auto" w:sz="4" w:space="0"/>
            </w:tcBorders>
            <w:noWrap w:val="0"/>
            <w:vAlign w:val="center"/>
          </w:tcPr>
          <w:p>
            <w:pPr>
              <w:pStyle w:val="18"/>
            </w:pPr>
            <w:r>
              <w:t>125</w:t>
            </w:r>
          </w:p>
        </w:tc>
        <w:tc>
          <w:tcPr>
            <w:tcW w:w="2508" w:type="dxa"/>
            <w:noWrap w:val="0"/>
            <w:vAlign w:val="center"/>
          </w:tcPr>
          <w:p>
            <w:pPr>
              <w:pStyle w:val="18"/>
            </w:pPr>
            <w:r>
              <w:t>COD、NH</w:t>
            </w:r>
            <w:r>
              <w:rPr>
                <w:vertAlign w:val="subscript"/>
              </w:rPr>
              <w:t>3</w:t>
            </w:r>
            <w:r>
              <w:t>-N、SS</w:t>
            </w:r>
            <w:r>
              <w:rPr>
                <w:rFonts w:hint="eastAsia"/>
              </w:rPr>
              <w:t>、</w:t>
            </w:r>
            <w:r>
              <w:t>石油类、硝基苯类、水温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17</w:t>
            </w:r>
          </w:p>
        </w:tc>
        <w:tc>
          <w:tcPr>
            <w:tcW w:w="1298" w:type="dxa"/>
            <w:noWrap w:val="0"/>
            <w:vAlign w:val="center"/>
          </w:tcPr>
          <w:p>
            <w:pPr>
              <w:pStyle w:val="18"/>
            </w:pPr>
            <w:r>
              <w:t>青峰药业</w:t>
            </w:r>
          </w:p>
        </w:tc>
        <w:tc>
          <w:tcPr>
            <w:tcW w:w="1173" w:type="dxa"/>
            <w:noWrap w:val="0"/>
            <w:vAlign w:val="center"/>
          </w:tcPr>
          <w:p>
            <w:pPr>
              <w:pStyle w:val="18"/>
            </w:pPr>
            <w:r>
              <w:t>医药</w:t>
            </w:r>
          </w:p>
        </w:tc>
        <w:tc>
          <w:tcPr>
            <w:tcW w:w="672" w:type="dxa"/>
            <w:noWrap w:val="0"/>
            <w:vAlign w:val="center"/>
          </w:tcPr>
          <w:p>
            <w:pPr>
              <w:pStyle w:val="18"/>
            </w:pPr>
            <w:r>
              <w:t>131</w:t>
            </w:r>
          </w:p>
        </w:tc>
        <w:tc>
          <w:tcPr>
            <w:tcW w:w="756" w:type="dxa"/>
            <w:tcBorders>
              <w:right w:val="single" w:color="auto" w:sz="4" w:space="0"/>
            </w:tcBorders>
            <w:noWrap w:val="0"/>
            <w:vAlign w:val="center"/>
          </w:tcPr>
          <w:p>
            <w:pPr>
              <w:pStyle w:val="18"/>
            </w:pPr>
            <w:r>
              <w:t>382</w:t>
            </w:r>
          </w:p>
        </w:tc>
        <w:tc>
          <w:tcPr>
            <w:tcW w:w="754" w:type="dxa"/>
            <w:tcBorders>
              <w:left w:val="single" w:color="auto" w:sz="4" w:space="0"/>
              <w:right w:val="single" w:color="auto" w:sz="4" w:space="0"/>
            </w:tcBorders>
            <w:noWrap w:val="0"/>
            <w:vAlign w:val="center"/>
          </w:tcPr>
          <w:p>
            <w:pPr>
              <w:pStyle w:val="18"/>
            </w:pPr>
            <w:r>
              <w:t>369</w:t>
            </w:r>
          </w:p>
        </w:tc>
        <w:tc>
          <w:tcPr>
            <w:tcW w:w="756" w:type="dxa"/>
            <w:tcBorders>
              <w:left w:val="single" w:color="auto" w:sz="4" w:space="0"/>
            </w:tcBorders>
            <w:noWrap w:val="0"/>
            <w:vAlign w:val="center"/>
          </w:tcPr>
          <w:p>
            <w:pPr>
              <w:pStyle w:val="18"/>
            </w:pPr>
            <w:r>
              <w:t>13</w:t>
            </w:r>
          </w:p>
        </w:tc>
        <w:tc>
          <w:tcPr>
            <w:tcW w:w="2508" w:type="dxa"/>
            <w:noWrap w:val="0"/>
            <w:vAlign w:val="center"/>
          </w:tcPr>
          <w:p>
            <w:pPr>
              <w:pStyle w:val="18"/>
            </w:pPr>
            <w:r>
              <w:t>COD、NH</w:t>
            </w:r>
            <w:r>
              <w:rPr>
                <w:vertAlign w:val="subscript"/>
              </w:rPr>
              <w:t>3</w:t>
            </w:r>
            <w:r>
              <w:t>-N、SS</w:t>
            </w:r>
            <w:r>
              <w:rPr>
                <w:rFonts w:hint="eastAsia"/>
              </w:rPr>
              <w:t>、</w:t>
            </w:r>
            <w:r>
              <w:t>石油类、硝基苯类、水温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18</w:t>
            </w:r>
          </w:p>
        </w:tc>
        <w:tc>
          <w:tcPr>
            <w:tcW w:w="1298" w:type="dxa"/>
            <w:noWrap w:val="0"/>
            <w:vAlign w:val="center"/>
          </w:tcPr>
          <w:p>
            <w:pPr>
              <w:pStyle w:val="18"/>
            </w:pPr>
            <w:r>
              <w:t>弘立现代中药</w:t>
            </w:r>
          </w:p>
        </w:tc>
        <w:tc>
          <w:tcPr>
            <w:tcW w:w="1173" w:type="dxa"/>
            <w:noWrap w:val="0"/>
            <w:vAlign w:val="center"/>
          </w:tcPr>
          <w:p>
            <w:pPr>
              <w:pStyle w:val="18"/>
            </w:pPr>
            <w:r>
              <w:t>医药</w:t>
            </w:r>
          </w:p>
        </w:tc>
        <w:tc>
          <w:tcPr>
            <w:tcW w:w="672" w:type="dxa"/>
            <w:noWrap w:val="0"/>
            <w:vAlign w:val="center"/>
          </w:tcPr>
          <w:p>
            <w:pPr>
              <w:pStyle w:val="18"/>
            </w:pPr>
            <w:r>
              <w:t>200</w:t>
            </w:r>
          </w:p>
        </w:tc>
        <w:tc>
          <w:tcPr>
            <w:tcW w:w="756" w:type="dxa"/>
            <w:tcBorders>
              <w:right w:val="single" w:color="auto" w:sz="4" w:space="0"/>
            </w:tcBorders>
            <w:noWrap w:val="0"/>
            <w:vAlign w:val="center"/>
          </w:tcPr>
          <w:p>
            <w:pPr>
              <w:pStyle w:val="18"/>
            </w:pPr>
            <w:r>
              <w:t>565</w:t>
            </w:r>
          </w:p>
        </w:tc>
        <w:tc>
          <w:tcPr>
            <w:tcW w:w="754" w:type="dxa"/>
            <w:tcBorders>
              <w:left w:val="single" w:color="auto" w:sz="4" w:space="0"/>
              <w:right w:val="single" w:color="auto" w:sz="4" w:space="0"/>
            </w:tcBorders>
            <w:noWrap w:val="0"/>
            <w:vAlign w:val="center"/>
          </w:tcPr>
          <w:p>
            <w:pPr>
              <w:pStyle w:val="18"/>
            </w:pPr>
            <w:r>
              <w:t>543</w:t>
            </w:r>
          </w:p>
        </w:tc>
        <w:tc>
          <w:tcPr>
            <w:tcW w:w="756" w:type="dxa"/>
            <w:tcBorders>
              <w:left w:val="single" w:color="auto" w:sz="4" w:space="0"/>
            </w:tcBorders>
            <w:noWrap w:val="0"/>
            <w:vAlign w:val="center"/>
          </w:tcPr>
          <w:p>
            <w:pPr>
              <w:pStyle w:val="18"/>
            </w:pPr>
            <w:r>
              <w:t>22</w:t>
            </w:r>
          </w:p>
        </w:tc>
        <w:tc>
          <w:tcPr>
            <w:tcW w:w="2508" w:type="dxa"/>
            <w:noWrap w:val="0"/>
            <w:vAlign w:val="center"/>
          </w:tcPr>
          <w:p>
            <w:pPr>
              <w:pStyle w:val="18"/>
            </w:pPr>
            <w:r>
              <w:t>COD、NH</w:t>
            </w:r>
            <w:r>
              <w:rPr>
                <w:vertAlign w:val="subscript"/>
              </w:rPr>
              <w:t>3</w:t>
            </w:r>
            <w:r>
              <w:t>-N、SS</w:t>
            </w:r>
            <w:r>
              <w:rPr>
                <w:rFonts w:hint="eastAsia"/>
              </w:rPr>
              <w:t>、</w:t>
            </w:r>
            <w:r>
              <w:t>石油类、硝基苯类、水温</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noWrap w:val="0"/>
            <w:vAlign w:val="center"/>
          </w:tcPr>
          <w:p>
            <w:pPr>
              <w:pStyle w:val="18"/>
            </w:pPr>
            <w:r>
              <w:t>19</w:t>
            </w:r>
          </w:p>
        </w:tc>
        <w:tc>
          <w:tcPr>
            <w:tcW w:w="1298" w:type="dxa"/>
            <w:noWrap w:val="0"/>
            <w:vAlign w:val="center"/>
          </w:tcPr>
          <w:p>
            <w:pPr>
              <w:pStyle w:val="18"/>
            </w:pPr>
            <w:r>
              <w:t>云深处</w:t>
            </w:r>
          </w:p>
        </w:tc>
        <w:tc>
          <w:tcPr>
            <w:tcW w:w="1173" w:type="dxa"/>
            <w:noWrap w:val="0"/>
            <w:vAlign w:val="center"/>
          </w:tcPr>
          <w:p>
            <w:pPr>
              <w:pStyle w:val="18"/>
            </w:pPr>
            <w:r>
              <w:t>食品包装</w:t>
            </w:r>
          </w:p>
        </w:tc>
        <w:tc>
          <w:tcPr>
            <w:tcW w:w="672" w:type="dxa"/>
            <w:noWrap w:val="0"/>
            <w:vAlign w:val="center"/>
          </w:tcPr>
          <w:p>
            <w:pPr>
              <w:pStyle w:val="18"/>
            </w:pPr>
            <w:r>
              <w:t>48</w:t>
            </w:r>
          </w:p>
        </w:tc>
        <w:tc>
          <w:tcPr>
            <w:tcW w:w="756" w:type="dxa"/>
            <w:tcBorders>
              <w:right w:val="single" w:color="auto" w:sz="4" w:space="0"/>
            </w:tcBorders>
            <w:noWrap w:val="0"/>
            <w:vAlign w:val="center"/>
          </w:tcPr>
          <w:p>
            <w:pPr>
              <w:pStyle w:val="18"/>
            </w:pPr>
            <w:r>
              <w:t>17</w:t>
            </w:r>
          </w:p>
        </w:tc>
        <w:tc>
          <w:tcPr>
            <w:tcW w:w="754" w:type="dxa"/>
            <w:tcBorders>
              <w:left w:val="single" w:color="auto" w:sz="4" w:space="0"/>
              <w:right w:val="single" w:color="auto" w:sz="4" w:space="0"/>
            </w:tcBorders>
            <w:noWrap w:val="0"/>
            <w:vAlign w:val="center"/>
          </w:tcPr>
          <w:p>
            <w:pPr>
              <w:pStyle w:val="18"/>
            </w:pPr>
            <w:r>
              <w:t>10</w:t>
            </w:r>
          </w:p>
        </w:tc>
        <w:tc>
          <w:tcPr>
            <w:tcW w:w="756" w:type="dxa"/>
            <w:tcBorders>
              <w:left w:val="single" w:color="auto" w:sz="4" w:space="0"/>
            </w:tcBorders>
            <w:noWrap w:val="0"/>
            <w:vAlign w:val="center"/>
          </w:tcPr>
          <w:p>
            <w:pPr>
              <w:pStyle w:val="18"/>
            </w:pPr>
            <w:r>
              <w:t>7</w:t>
            </w:r>
          </w:p>
        </w:tc>
        <w:tc>
          <w:tcPr>
            <w:tcW w:w="2508" w:type="dxa"/>
            <w:noWrap w:val="0"/>
            <w:vAlign w:val="center"/>
          </w:tcPr>
          <w:p>
            <w:pPr>
              <w:pStyle w:val="18"/>
            </w:pPr>
            <w:r>
              <w:t>COD、NH</w:t>
            </w:r>
            <w:r>
              <w:rPr>
                <w:vertAlign w:val="subscript"/>
              </w:rPr>
              <w:t>3</w:t>
            </w:r>
            <w:r>
              <w:t>-N、SS</w:t>
            </w:r>
            <w:r>
              <w:rPr>
                <w:rFonts w:hint="eastAsia"/>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vMerge w:val="restart"/>
            <w:noWrap w:val="0"/>
            <w:vAlign w:val="center"/>
          </w:tcPr>
          <w:p>
            <w:pPr>
              <w:pStyle w:val="18"/>
            </w:pPr>
          </w:p>
          <w:p>
            <w:pPr>
              <w:pStyle w:val="18"/>
            </w:pPr>
            <w:r>
              <w:t>合计</w:t>
            </w:r>
          </w:p>
          <w:p>
            <w:pPr>
              <w:pStyle w:val="18"/>
            </w:pPr>
          </w:p>
        </w:tc>
        <w:tc>
          <w:tcPr>
            <w:tcW w:w="1298" w:type="dxa"/>
            <w:noWrap w:val="0"/>
            <w:vAlign w:val="center"/>
          </w:tcPr>
          <w:p>
            <w:pPr>
              <w:pStyle w:val="18"/>
            </w:pPr>
            <w:r>
              <w:t>年污水量合计（t/a）</w:t>
            </w:r>
          </w:p>
        </w:tc>
        <w:tc>
          <w:tcPr>
            <w:tcW w:w="1173" w:type="dxa"/>
            <w:noWrap w:val="0"/>
            <w:vAlign w:val="center"/>
          </w:tcPr>
          <w:p>
            <w:pPr>
              <w:pStyle w:val="18"/>
            </w:pPr>
          </w:p>
        </w:tc>
        <w:tc>
          <w:tcPr>
            <w:tcW w:w="672" w:type="dxa"/>
            <w:noWrap w:val="0"/>
            <w:vAlign w:val="center"/>
          </w:tcPr>
          <w:p>
            <w:pPr>
              <w:pStyle w:val="18"/>
            </w:pPr>
          </w:p>
        </w:tc>
        <w:tc>
          <w:tcPr>
            <w:tcW w:w="756" w:type="dxa"/>
            <w:tcBorders>
              <w:right w:val="single" w:color="auto" w:sz="4" w:space="0"/>
            </w:tcBorders>
            <w:noWrap w:val="0"/>
            <w:vAlign w:val="center"/>
          </w:tcPr>
          <w:p>
            <w:pPr>
              <w:pStyle w:val="18"/>
            </w:pPr>
            <w:r>
              <w:t>2494337</w:t>
            </w:r>
          </w:p>
        </w:tc>
        <w:tc>
          <w:tcPr>
            <w:tcW w:w="754" w:type="dxa"/>
            <w:tcBorders>
              <w:left w:val="single" w:color="auto" w:sz="4" w:space="0"/>
              <w:right w:val="single" w:color="auto" w:sz="4" w:space="0"/>
            </w:tcBorders>
            <w:noWrap w:val="0"/>
            <w:vAlign w:val="center"/>
          </w:tcPr>
          <w:p>
            <w:pPr>
              <w:pStyle w:val="18"/>
            </w:pPr>
            <w:r>
              <w:t>2247670</w:t>
            </w:r>
          </w:p>
        </w:tc>
        <w:tc>
          <w:tcPr>
            <w:tcW w:w="756" w:type="dxa"/>
            <w:tcBorders>
              <w:left w:val="single" w:color="auto" w:sz="4" w:space="0"/>
            </w:tcBorders>
            <w:noWrap w:val="0"/>
            <w:vAlign w:val="center"/>
          </w:tcPr>
          <w:p>
            <w:pPr>
              <w:pStyle w:val="18"/>
            </w:pPr>
            <w:r>
              <w:t>246667</w:t>
            </w:r>
          </w:p>
        </w:tc>
        <w:tc>
          <w:tcPr>
            <w:tcW w:w="2508" w:type="dxa"/>
            <w:noWrap w:val="0"/>
            <w:vAlign w:val="center"/>
          </w:tcPr>
          <w:p>
            <w:pPr>
              <w:pStyle w:val="18"/>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Ex>
        <w:trPr>
          <w:trHeight w:val="397" w:hRule="atLeast"/>
          <w:tblHeader/>
          <w:jc w:val="center"/>
        </w:trPr>
        <w:tc>
          <w:tcPr>
            <w:tcW w:w="417" w:type="dxa"/>
            <w:vMerge w:val="continue"/>
            <w:noWrap w:val="0"/>
            <w:vAlign w:val="center"/>
          </w:tcPr>
          <w:p>
            <w:pPr>
              <w:pStyle w:val="18"/>
            </w:pPr>
          </w:p>
        </w:tc>
        <w:tc>
          <w:tcPr>
            <w:tcW w:w="1298" w:type="dxa"/>
            <w:noWrap w:val="0"/>
            <w:vAlign w:val="center"/>
          </w:tcPr>
          <w:p>
            <w:pPr>
              <w:pStyle w:val="18"/>
            </w:pPr>
            <w:r>
              <w:t>日平均污水量（t/d）</w:t>
            </w:r>
          </w:p>
        </w:tc>
        <w:tc>
          <w:tcPr>
            <w:tcW w:w="1173" w:type="dxa"/>
            <w:noWrap w:val="0"/>
            <w:vAlign w:val="center"/>
          </w:tcPr>
          <w:p>
            <w:pPr>
              <w:pStyle w:val="18"/>
            </w:pPr>
          </w:p>
        </w:tc>
        <w:tc>
          <w:tcPr>
            <w:tcW w:w="672" w:type="dxa"/>
            <w:noWrap w:val="0"/>
            <w:vAlign w:val="center"/>
          </w:tcPr>
          <w:p>
            <w:pPr>
              <w:pStyle w:val="18"/>
            </w:pPr>
          </w:p>
        </w:tc>
        <w:tc>
          <w:tcPr>
            <w:tcW w:w="756" w:type="dxa"/>
            <w:tcBorders>
              <w:right w:val="single" w:color="auto" w:sz="4" w:space="0"/>
            </w:tcBorders>
            <w:noWrap w:val="0"/>
            <w:vAlign w:val="center"/>
          </w:tcPr>
          <w:p>
            <w:pPr>
              <w:pStyle w:val="18"/>
            </w:pPr>
            <w:r>
              <w:t>6833.8</w:t>
            </w:r>
          </w:p>
        </w:tc>
        <w:tc>
          <w:tcPr>
            <w:tcW w:w="754" w:type="dxa"/>
            <w:tcBorders>
              <w:left w:val="single" w:color="auto" w:sz="4" w:space="0"/>
              <w:right w:val="single" w:color="auto" w:sz="4" w:space="0"/>
            </w:tcBorders>
            <w:noWrap w:val="0"/>
            <w:vAlign w:val="center"/>
          </w:tcPr>
          <w:p>
            <w:pPr>
              <w:pStyle w:val="18"/>
            </w:pPr>
            <w:r>
              <w:t>6158</w:t>
            </w:r>
          </w:p>
        </w:tc>
        <w:tc>
          <w:tcPr>
            <w:tcW w:w="756" w:type="dxa"/>
            <w:tcBorders>
              <w:left w:val="single" w:color="auto" w:sz="4" w:space="0"/>
            </w:tcBorders>
            <w:noWrap w:val="0"/>
            <w:vAlign w:val="center"/>
          </w:tcPr>
          <w:p>
            <w:pPr>
              <w:pStyle w:val="18"/>
            </w:pPr>
            <w:r>
              <w:t>675.8</w:t>
            </w:r>
          </w:p>
        </w:tc>
        <w:tc>
          <w:tcPr>
            <w:tcW w:w="2508" w:type="dxa"/>
            <w:noWrap w:val="0"/>
            <w:vAlign w:val="center"/>
          </w:tcPr>
          <w:p>
            <w:pPr>
              <w:pStyle w:val="18"/>
            </w:pPr>
          </w:p>
        </w:tc>
      </w:tr>
    </w:tbl>
    <w:p>
      <w:pPr>
        <w:pStyle w:val="14"/>
        <w:rPr>
          <w:rFonts w:hint="eastAsia" w:eastAsia="宋体"/>
          <w:lang w:eastAsia="zh-CN"/>
        </w:rPr>
      </w:pPr>
      <w:r>
        <w:rPr>
          <w:rFonts w:hint="default"/>
        </w:rPr>
        <w:t>由上表可知，</w:t>
      </w:r>
      <w:r>
        <w:rPr>
          <w:rFonts w:hint="eastAsia"/>
          <w:lang w:val="en-US" w:eastAsia="zh-CN"/>
        </w:rPr>
        <w:t>纳污范围内</w:t>
      </w:r>
      <w:r>
        <w:rPr>
          <w:rFonts w:hint="default"/>
        </w:rPr>
        <w:t>目前实际入区企业</w:t>
      </w:r>
      <w:r>
        <w:rPr>
          <w:rFonts w:hint="eastAsia"/>
          <w:lang w:val="en-US" w:eastAsia="zh-CN"/>
        </w:rPr>
        <w:t>19</w:t>
      </w:r>
      <w:r>
        <w:rPr>
          <w:rFonts w:hint="default"/>
        </w:rPr>
        <w:t>家，</w:t>
      </w:r>
      <w:r>
        <w:rPr>
          <w:rFonts w:hint="eastAsia"/>
          <w:lang w:eastAsia="zh-CN"/>
        </w:rPr>
        <w:t>均为</w:t>
      </w:r>
      <w:r>
        <w:rPr>
          <w:rFonts w:hint="default"/>
        </w:rPr>
        <w:t>正常生产企业</w:t>
      </w:r>
      <w:r>
        <w:rPr>
          <w:rFonts w:hint="eastAsia"/>
          <w:lang w:eastAsia="zh-CN"/>
        </w:rPr>
        <w:t>。</w:t>
      </w:r>
    </w:p>
    <w:p>
      <w:pPr>
        <w:numPr>
          <w:ilvl w:val="0"/>
          <w:numId w:val="0"/>
        </w:numPr>
        <w:spacing w:line="360" w:lineRule="auto"/>
        <w:ind w:firstLine="480" w:firstLineChars="200"/>
        <w:rPr>
          <w:rFonts w:hint="default" w:ascii="Times New Roman" w:hAnsi="Times New Roman" w:cs="Times New Roman"/>
          <w:color w:val="auto"/>
          <w:kern w:val="0"/>
          <w:highlight w:val="none"/>
        </w:rPr>
      </w:pPr>
      <w:r>
        <w:rPr>
          <w:rFonts w:hint="default"/>
        </w:rPr>
        <w:t>根据污水处理厂在线流量计统计情况，污水处理厂日均处理水量约</w:t>
      </w:r>
      <w:r>
        <w:rPr>
          <w:rFonts w:hint="eastAsia"/>
          <w:lang w:val="en-US" w:eastAsia="zh-CN"/>
        </w:rPr>
        <w:t>2000</w:t>
      </w:r>
      <w:r>
        <w:rPr>
          <w:rFonts w:hint="default"/>
        </w:rPr>
        <w:t>m</w:t>
      </w:r>
      <w:r>
        <w:rPr>
          <w:rFonts w:hint="default"/>
          <w:vertAlign w:val="superscript"/>
        </w:rPr>
        <w:t>3</w:t>
      </w:r>
      <w:r>
        <w:rPr>
          <w:rFonts w:hint="default"/>
        </w:rPr>
        <w:t>/d</w:t>
      </w:r>
      <w:r>
        <w:rPr>
          <w:rFonts w:hint="eastAsia"/>
          <w:lang w:eastAsia="zh-CN"/>
        </w:rPr>
        <w:t>，</w:t>
      </w:r>
      <w:r>
        <w:rPr>
          <w:rFonts w:hint="default" w:ascii="Times New Roman" w:hAnsi="Times New Roman" w:cs="Times New Roman"/>
          <w:bCs/>
          <w:color w:val="auto"/>
          <w:highlight w:val="none"/>
        </w:rPr>
        <w:t>综合分析，目前</w:t>
      </w:r>
      <w:r>
        <w:rPr>
          <w:rFonts w:hint="eastAsia" w:cs="Times New Roman"/>
          <w:bCs/>
          <w:color w:val="auto"/>
          <w:highlight w:val="none"/>
          <w:lang w:eastAsia="zh-CN"/>
        </w:rPr>
        <w:t>纳污范围内入园企业废水产生量</w:t>
      </w:r>
      <w:r>
        <w:rPr>
          <w:rFonts w:hint="default" w:ascii="Times New Roman" w:hAnsi="Times New Roman" w:cs="Times New Roman"/>
          <w:bCs/>
          <w:color w:val="auto"/>
          <w:highlight w:val="none"/>
        </w:rPr>
        <w:t>较少，在正常运行的</w:t>
      </w:r>
      <w:r>
        <w:rPr>
          <w:rFonts w:hint="eastAsia" w:cs="Times New Roman"/>
          <w:bCs/>
          <w:color w:val="auto"/>
          <w:highlight w:val="none"/>
          <w:lang w:val="en-US" w:eastAsia="zh-CN"/>
        </w:rPr>
        <w:t>19</w:t>
      </w:r>
      <w:r>
        <w:rPr>
          <w:rFonts w:hint="default" w:ascii="Times New Roman" w:hAnsi="Times New Roman" w:cs="Times New Roman"/>
          <w:bCs/>
          <w:color w:val="auto"/>
          <w:highlight w:val="none"/>
        </w:rPr>
        <w:t>家企业中，以</w:t>
      </w:r>
      <w:r>
        <w:rPr>
          <w:rFonts w:hint="eastAsia" w:cs="Times New Roman"/>
          <w:bCs/>
          <w:color w:val="auto"/>
          <w:highlight w:val="none"/>
          <w:lang w:eastAsia="zh-CN"/>
        </w:rPr>
        <w:t>电子、医药类企业</w:t>
      </w:r>
      <w:r>
        <w:rPr>
          <w:rFonts w:hint="default" w:ascii="Times New Roman" w:hAnsi="Times New Roman" w:cs="Times New Roman"/>
          <w:bCs/>
          <w:color w:val="auto"/>
          <w:highlight w:val="none"/>
        </w:rPr>
        <w:t>为主，均不属于排水量大、污染物浓度高的企业，因此，</w:t>
      </w:r>
      <w:r>
        <w:rPr>
          <w:rFonts w:hint="eastAsia" w:cs="Times New Roman"/>
          <w:bCs/>
          <w:color w:val="auto"/>
          <w:highlight w:val="none"/>
          <w:lang w:eastAsia="zh-CN"/>
        </w:rPr>
        <w:t>纳污范围内工业企业</w:t>
      </w:r>
      <w:r>
        <w:rPr>
          <w:rFonts w:hint="default" w:ascii="Times New Roman" w:hAnsi="Times New Roman" w:cs="Times New Roman"/>
          <w:bCs/>
          <w:color w:val="auto"/>
          <w:highlight w:val="none"/>
        </w:rPr>
        <w:t>总体废水排放量小、进水水质偏低</w:t>
      </w:r>
      <w:r>
        <w:rPr>
          <w:rFonts w:hint="eastAsia" w:cs="Times New Roman"/>
          <w:bCs/>
          <w:color w:val="auto"/>
          <w:highlight w:val="none"/>
          <w:lang w:eastAsia="zh-CN"/>
        </w:rPr>
        <w:t>，出水</w:t>
      </w:r>
      <w:r>
        <w:rPr>
          <w:rFonts w:hint="default" w:ascii="Times New Roman" w:hAnsi="Times New Roman" w:cs="Times New Roman"/>
          <w:bCs/>
          <w:color w:val="auto"/>
          <w:highlight w:val="none"/>
          <w:lang w:val="en-US" w:eastAsia="zh-CN"/>
        </w:rPr>
        <w:t>水质稳定达到</w:t>
      </w:r>
      <w:r>
        <w:rPr>
          <w:rFonts w:hint="default" w:ascii="Times New Roman" w:hAnsi="Times New Roman" w:cs="Times New Roman"/>
          <w:color w:val="auto"/>
          <w:highlight w:val="none"/>
          <w:lang w:val="en-US" w:eastAsia="zh-CN"/>
        </w:rPr>
        <w:t>《城镇污水处理厂污染物排放标准》（GB18918-2002）中一级</w:t>
      </w:r>
      <w:r>
        <w:rPr>
          <w:rFonts w:hint="default" w:ascii="Times New Roman" w:hAnsi="Times New Roman" w:cs="Times New Roman"/>
          <w:color w:val="auto"/>
          <w:highlight w:val="none"/>
          <w:u w:val="none"/>
          <w:lang w:val="en-US" w:eastAsia="zh-CN"/>
        </w:rPr>
        <w:t>标准的</w:t>
      </w:r>
      <w:r>
        <w:rPr>
          <w:rFonts w:hint="eastAsia" w:cs="Times New Roman"/>
          <w:color w:val="auto"/>
          <w:highlight w:val="none"/>
          <w:u w:val="none"/>
          <w:lang w:val="en-US" w:eastAsia="zh-CN"/>
        </w:rPr>
        <w:t>B</w:t>
      </w:r>
      <w:r>
        <w:rPr>
          <w:rFonts w:hint="default" w:ascii="Times New Roman" w:hAnsi="Times New Roman" w:cs="Times New Roman"/>
          <w:color w:val="auto"/>
          <w:highlight w:val="none"/>
          <w:u w:val="none"/>
          <w:lang w:val="en-US" w:eastAsia="zh-CN"/>
        </w:rPr>
        <w:t>标准。</w:t>
      </w:r>
    </w:p>
    <w:p>
      <w:pPr>
        <w:pStyle w:val="21"/>
        <w:rPr>
          <w:rFonts w:hint="eastAsia"/>
        </w:rPr>
      </w:pPr>
      <w:bookmarkStart w:id="139" w:name="_Toc6048_WPSOffice_Level2"/>
      <w:bookmarkStart w:id="140" w:name="_Toc15961"/>
      <w:bookmarkStart w:id="141" w:name="_Toc9975_WPSOffice_Level2"/>
      <w:bookmarkStart w:id="142" w:name="_Toc1281"/>
      <w:r>
        <w:rPr>
          <w:rFonts w:hint="eastAsia"/>
          <w:lang w:val="en-US" w:eastAsia="zh-CN"/>
        </w:rPr>
        <w:t>2.1.3</w:t>
      </w:r>
      <w:r>
        <w:t>生产工艺说明</w:t>
      </w:r>
      <w:bookmarkEnd w:id="139"/>
      <w:bookmarkEnd w:id="140"/>
      <w:bookmarkEnd w:id="141"/>
      <w:bookmarkEnd w:id="142"/>
    </w:p>
    <w:p>
      <w:pPr>
        <w:pStyle w:val="14"/>
        <w:rPr>
          <w:rFonts w:hint="eastAsia" w:eastAsia="宋体"/>
          <w:sz w:val="21"/>
          <w:szCs w:val="21"/>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1545590</wp:posOffset>
                </wp:positionH>
                <wp:positionV relativeFrom="paragraph">
                  <wp:posOffset>1162685</wp:posOffset>
                </wp:positionV>
                <wp:extent cx="75565" cy="75565"/>
                <wp:effectExtent l="10160" t="13970" r="28575" b="24765"/>
                <wp:wrapNone/>
                <wp:docPr id="3" name="等腰三角形 3"/>
                <wp:cNvGraphicFramePr/>
                <a:graphic xmlns:a="http://schemas.openxmlformats.org/drawingml/2006/main">
                  <a:graphicData uri="http://schemas.microsoft.com/office/word/2010/wordprocessingShape">
                    <wps:wsp>
                      <wps:cNvSpPr/>
                      <wps:spPr>
                        <a:xfrm>
                          <a:off x="2279650" y="6231255"/>
                          <a:ext cx="75565" cy="75565"/>
                        </a:xfrm>
                        <a:prstGeom prst="triangl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21.7pt;margin-top:91.55pt;height:5.95pt;width:5.95pt;z-index:251663360;v-text-anchor:middle;mso-width-relative:page;mso-height-relative:page;" fillcolor="#FF0000" filled="t" stroked="t" coordsize="21600,21600" o:gfxdata="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xIBWZ2gAAAAsBAAAPAAAAAAAA&#10;AAEAIAAAACIAAABkcnMvZG93bnJldi54bWxQSwECFAAUAAAACACHTuJAc3JMfoICAADdBAAADgAA&#10;AAAAAAABACAAAAApAQAAZHJzL2Uyb0RvYy54bWxQSwUGAAAAAAYABgBZAQAAHQYAAAAA&#10;" adj="10800">
                <v:fill on="t" focussize="0,0"/>
                <v:stroke weight="1pt" color="#41719C [3204]" miterlimit="8" joinstyle="miter"/>
                <v:imagedata o:title=""/>
                <o:lock v:ext="edit" aspectratio="f"/>
              </v:shape>
            </w:pict>
          </mc:Fallback>
        </mc:AlternateContent>
      </w:r>
      <w:r>
        <w:rPr>
          <w:rFonts w:hint="eastAsia"/>
          <w:lang w:val="en-US" w:eastAsia="zh-CN"/>
        </w:rPr>
        <w:object>
          <v:shape id="_x0000_i1027" o:spt="75" type="#_x0000_t75" style="height:205.5pt;width:399pt;" o:ole="t" filled="f" o:preferrelative="t" stroked="f" coordsize="21600,21600">
            <v:path/>
            <v:fill on="f" focussize="0,0"/>
            <v:stroke on="f"/>
            <v:imagedata r:id="rId14" o:title=""/>
            <o:lock v:ext="edit" aspectratio="f"/>
            <w10:wrap type="none"/>
            <w10:anchorlock/>
          </v:shape>
          <o:OLEObject Type="Embed" ProgID="Visio.Drawing.11" ShapeID="_x0000_i1027" DrawAspect="Content" ObjectID="_1468075727" r:id="rId13">
            <o:LockedField>false</o:LockedField>
          </o:OLEObject>
        </w:object>
      </w:r>
      <w:r>
        <w:rPr>
          <w:rFonts w:hint="eastAsia"/>
          <w:lang w:val="en-US" w:eastAsia="zh-CN"/>
        </w:rPr>
        <w:t xml:space="preserve">                                               </w:t>
      </w:r>
      <w:r>
        <w:drawing>
          <wp:inline distT="0" distB="0" distL="114300" distR="114300">
            <wp:extent cx="1457325" cy="257175"/>
            <wp:effectExtent l="0" t="0" r="9525" b="9525"/>
            <wp:docPr id="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
                    <pic:cNvPicPr>
                      <a:picLocks noChangeAspect="1"/>
                    </pic:cNvPicPr>
                  </pic:nvPicPr>
                  <pic:blipFill>
                    <a:blip r:embed="rId15"/>
                    <a:stretch>
                      <a:fillRect/>
                    </a:stretch>
                  </pic:blipFill>
                  <pic:spPr>
                    <a:xfrm>
                      <a:off x="0" y="0"/>
                      <a:ext cx="1457325" cy="257175"/>
                    </a:xfrm>
                    <a:prstGeom prst="rect">
                      <a:avLst/>
                    </a:prstGeom>
                    <a:noFill/>
                    <a:ln w="9525">
                      <a:noFill/>
                    </a:ln>
                  </pic:spPr>
                </pic:pic>
              </a:graphicData>
            </a:graphic>
          </wp:inline>
        </w:drawing>
      </w:r>
    </w:p>
    <w:p>
      <w:pPr>
        <w:pStyle w:val="14"/>
        <w:numPr>
          <w:ilvl w:val="0"/>
          <w:numId w:val="0"/>
        </w:numPr>
        <w:jc w:val="center"/>
        <w:rPr>
          <w:rFonts w:hint="eastAsia" w:eastAsia="宋体"/>
          <w:lang w:val="en-US" w:eastAsia="zh-CN"/>
        </w:rPr>
      </w:pPr>
      <w:r>
        <w:rPr>
          <w:rStyle w:val="24"/>
          <w:rFonts w:hint="eastAsia"/>
          <w:lang w:eastAsia="zh-CN"/>
        </w:rPr>
        <w:t>图</w:t>
      </w:r>
      <w:r>
        <w:rPr>
          <w:rStyle w:val="24"/>
          <w:rFonts w:hint="eastAsia"/>
          <w:lang w:val="en-US" w:eastAsia="zh-CN"/>
        </w:rPr>
        <w:t>2.1.1  污水处理厂工艺流程图</w:t>
      </w:r>
    </w:p>
    <w:p>
      <w:pPr>
        <w:pStyle w:val="14"/>
      </w:pPr>
      <w:bookmarkStart w:id="143" w:name="_Toc7122"/>
      <w:bookmarkStart w:id="144" w:name="_Toc9385"/>
      <w:bookmarkStart w:id="145" w:name="_Toc30592_WPSOffice_Level2"/>
      <w:bookmarkStart w:id="146" w:name="_Toc12114_WPSOffice_Level2"/>
      <w:r>
        <w:rPr>
          <w:rFonts w:hint="eastAsia"/>
        </w:rPr>
        <w:t>污水经工业园区</w:t>
      </w:r>
      <w:r>
        <w:t>管道系统收集后进入</w:t>
      </w:r>
      <w:r>
        <w:rPr>
          <w:rFonts w:hint="eastAsia"/>
        </w:rPr>
        <w:t>污水厂</w:t>
      </w:r>
      <w:r>
        <w:t>进水泵房，污水通过泵房前设置的粗格栅去除污水中的较大</w:t>
      </w:r>
      <w:r>
        <w:rPr>
          <w:rFonts w:hint="eastAsia"/>
          <w:lang w:eastAsia="zh-CN"/>
        </w:rPr>
        <w:t>漂</w:t>
      </w:r>
      <w:r>
        <w:t>浮物后，进入进水泵房（粗格栅与进水泵房合建），经进水泵提升后进入细格栅</w:t>
      </w:r>
      <w:r>
        <w:rPr>
          <w:rFonts w:hint="eastAsia"/>
        </w:rPr>
        <w:t>旋流沉砂池</w:t>
      </w:r>
      <w:r>
        <w:t>，去除比较小的漂浮物、油脂和砂粒。沉砂池出水流入</w:t>
      </w:r>
      <w:r>
        <w:rPr>
          <w:rFonts w:hint="eastAsia"/>
        </w:rPr>
        <w:t>调节池（事故池是应对突发的冲击负荷）及提升泵房，有提升泵提升后均匀流入后续的混凝沉淀池（</w:t>
      </w:r>
      <w:r>
        <w:t>初沉池</w:t>
      </w:r>
      <w:r>
        <w:rPr>
          <w:rFonts w:hint="eastAsia"/>
        </w:rPr>
        <w:t>）</w:t>
      </w:r>
      <w:r>
        <w:t>，</w:t>
      </w:r>
      <w:r>
        <w:rPr>
          <w:rFonts w:hint="eastAsia"/>
        </w:rPr>
        <w:t>污水经初沉</w:t>
      </w:r>
      <w:r>
        <w:t>去除</w:t>
      </w:r>
      <w:r>
        <w:rPr>
          <w:rFonts w:hint="eastAsia"/>
        </w:rPr>
        <w:t>大部分固体污染物后</w:t>
      </w:r>
      <w:r>
        <w:t>进入</w:t>
      </w:r>
      <w:r>
        <w:rPr>
          <w:rFonts w:hint="eastAsia"/>
        </w:rPr>
        <w:t>水解酸化池</w:t>
      </w:r>
      <w:r>
        <w:t>处理</w:t>
      </w:r>
      <w:r>
        <w:rPr>
          <w:rFonts w:hint="eastAsia"/>
        </w:rPr>
        <w:t>，经水解酸化处理后剩余的不溶性的有机物可水解为可溶性物质，大分子物质可降解成小分子物质，提高污水的生化性，便于后续生物处理</w:t>
      </w:r>
      <w:r>
        <w:t>。</w:t>
      </w:r>
    </w:p>
    <w:p>
      <w:pPr>
        <w:pStyle w:val="14"/>
      </w:pPr>
      <w:r>
        <w:rPr>
          <w:rFonts w:hint="eastAsia"/>
        </w:rPr>
        <w:t>经水解酸化的污水进入A</w:t>
      </w:r>
      <w:r>
        <w:rPr>
          <w:rFonts w:hint="eastAsia"/>
          <w:vertAlign w:val="superscript"/>
        </w:rPr>
        <w:t>2</w:t>
      </w:r>
      <w:r>
        <w:rPr>
          <w:rFonts w:hint="eastAsia"/>
        </w:rPr>
        <w:t>/O池进行处理，A</w:t>
      </w:r>
      <w:r>
        <w:rPr>
          <w:rFonts w:hint="eastAsia"/>
          <w:vertAlign w:val="superscript"/>
        </w:rPr>
        <w:t>2</w:t>
      </w:r>
      <w:r>
        <w:rPr>
          <w:rFonts w:hint="eastAsia"/>
        </w:rPr>
        <w:t>/O池</w:t>
      </w:r>
      <w:r>
        <w:t>是整个污水处理工艺的主体构筑物，直接影响到出水水质好坏。</w:t>
      </w:r>
      <w:r>
        <w:rPr>
          <w:rFonts w:hint="eastAsia"/>
        </w:rPr>
        <w:t>A</w:t>
      </w:r>
      <w:r>
        <w:rPr>
          <w:rFonts w:hint="eastAsia"/>
          <w:vertAlign w:val="superscript"/>
        </w:rPr>
        <w:t>2</w:t>
      </w:r>
      <w:r>
        <w:rPr>
          <w:rFonts w:hint="eastAsia"/>
        </w:rPr>
        <w:t>/O池</w:t>
      </w:r>
      <w:r>
        <w:t>共分为三个区，即厌氧区、缺氧区和好氧区。在厌氧区，聚磷菌吸收利用原污水中的VFA转化为PHB贮存在体内，同时进行磷的释放；在缺氧区内，污水与来自二沉池的回流污泥及好氧区的混合液混合，一方面提高缺氧区的混合液污泥浓度，另一方面反硝化菌利用进水中有机物作碳源将硝酸盐还原成氮气排出，完成了生物反硝化过程；然后混合液进入好氧曝气区,进行磷的吸收及有机物的降解，完成整个生物处理过程。缺氧区和厌氧区分别设有搅拌装置，以保证池内污泥和污水能充分混合，在</w:t>
      </w:r>
      <w:r>
        <w:rPr>
          <w:rFonts w:hint="eastAsia"/>
        </w:rPr>
        <w:t>好氧</w:t>
      </w:r>
      <w:r>
        <w:t>区内设机械曝气设备。</w:t>
      </w:r>
    </w:p>
    <w:p>
      <w:pPr>
        <w:pStyle w:val="14"/>
      </w:pPr>
      <w:r>
        <w:t>经过生物处理后的混合液</w:t>
      </w:r>
      <w:r>
        <w:rPr>
          <w:rFonts w:hint="eastAsia"/>
        </w:rPr>
        <w:t>经配水后</w:t>
      </w:r>
      <w:r>
        <w:t>流入二沉池，以完成泥水分离，二沉池污泥经污泥回流泵回流至</w:t>
      </w:r>
      <w:r>
        <w:rPr>
          <w:rFonts w:hint="eastAsia"/>
        </w:rPr>
        <w:t>A</w:t>
      </w:r>
      <w:r>
        <w:rPr>
          <w:rFonts w:hint="eastAsia"/>
          <w:vertAlign w:val="superscript"/>
        </w:rPr>
        <w:t>2</w:t>
      </w:r>
      <w:r>
        <w:rPr>
          <w:rFonts w:hint="eastAsia"/>
        </w:rPr>
        <w:t>/O池</w:t>
      </w:r>
      <w:r>
        <w:t>，剩余污泥经剩余污泥泵提升进入污泥处理系统处理。</w:t>
      </w:r>
    </w:p>
    <w:p>
      <w:pPr>
        <w:pStyle w:val="14"/>
      </w:pPr>
      <w:r>
        <w:t>经二级处理后出水</w:t>
      </w:r>
      <w:r>
        <w:rPr>
          <w:rFonts w:hint="eastAsia"/>
        </w:rPr>
        <w:t>经紫外线消毒</w:t>
      </w:r>
      <w:r>
        <w:t>达到一级</w:t>
      </w:r>
      <w:r>
        <w:rPr>
          <w:rFonts w:hint="eastAsia"/>
        </w:rPr>
        <w:t>B</w:t>
      </w:r>
      <w:r>
        <w:t>标准</w:t>
      </w:r>
      <w:r>
        <w:rPr>
          <w:rFonts w:hint="eastAsia"/>
        </w:rPr>
        <w:t>后</w:t>
      </w:r>
      <w:r>
        <w:t>排入</w:t>
      </w:r>
      <w:r>
        <w:rPr>
          <w:rFonts w:hint="eastAsia"/>
        </w:rPr>
        <w:t>赣江</w:t>
      </w:r>
      <w:r>
        <w:t>。</w:t>
      </w:r>
    </w:p>
    <w:p>
      <w:pPr>
        <w:pStyle w:val="21"/>
        <w:rPr>
          <w:rFonts w:hint="eastAsia"/>
          <w:lang w:val="en-US" w:eastAsia="zh-CN"/>
        </w:rPr>
      </w:pPr>
      <w:r>
        <w:rPr>
          <w:rFonts w:hint="eastAsia"/>
          <w:lang w:val="en-US" w:eastAsia="zh-CN"/>
        </w:rPr>
        <w:t>2.1.4总平面布置</w:t>
      </w:r>
      <w:bookmarkEnd w:id="143"/>
      <w:bookmarkEnd w:id="144"/>
      <w:bookmarkEnd w:id="145"/>
      <w:bookmarkEnd w:id="146"/>
    </w:p>
    <w:p>
      <w:pPr>
        <w:pStyle w:val="14"/>
        <w:rPr>
          <w:rFonts w:hint="eastAsia"/>
        </w:rPr>
      </w:pPr>
      <w:bookmarkStart w:id="147" w:name="_Toc24291"/>
      <w:bookmarkStart w:id="148" w:name="_Toc16812_WPSOffice_Level2"/>
      <w:bookmarkStart w:id="149" w:name="_Toc11488_WPSOffice_Level2"/>
      <w:bookmarkStart w:id="150" w:name="_Toc7509"/>
      <w:r>
        <w:rPr>
          <w:rFonts w:hint="eastAsia"/>
        </w:rPr>
        <w:t>污水处理厂一期占地面积为34632.04平方米。厂区分为管理区和生产区，管理区布置在厂区东部。</w:t>
      </w:r>
    </w:p>
    <w:p>
      <w:pPr>
        <w:pStyle w:val="14"/>
      </w:pPr>
      <w:r>
        <w:rPr>
          <w:rFonts w:hint="eastAsia"/>
        </w:rPr>
        <w:t>一、管理区</w:t>
      </w:r>
    </w:p>
    <w:p>
      <w:pPr>
        <w:pStyle w:val="14"/>
        <w:rPr>
          <w:rFonts w:hint="eastAsia"/>
        </w:rPr>
      </w:pPr>
      <w:r>
        <w:rPr>
          <w:rFonts w:hint="eastAsia"/>
        </w:rPr>
        <w:t>管理区内布置有综合楼。在综合楼</w:t>
      </w:r>
      <w:r>
        <w:rPr>
          <w:rFonts w:hint="eastAsia"/>
          <w:lang w:val="en-GB"/>
        </w:rPr>
        <w:t>前设置广场铺地和少量停车位，并辅以绿化、花坛等加以修饰</w:t>
      </w:r>
      <w:r>
        <w:rPr>
          <w:rFonts w:hint="eastAsia"/>
        </w:rPr>
        <w:t>。利用厂内道路拉开管理区和生产区距离，综合楼与厂内道路空地适当种植乔木、灌木及草皮与前者相结合组成管理区完整的绿化系统。</w:t>
      </w:r>
      <w:r>
        <w:rPr>
          <w:rFonts w:hint="eastAsia"/>
          <w:lang w:val="en-GB"/>
        </w:rPr>
        <w:t>既满足现代办公要求同时又美化了周围的环境。</w:t>
      </w:r>
    </w:p>
    <w:p>
      <w:pPr>
        <w:pStyle w:val="14"/>
        <w:rPr>
          <w:rFonts w:hint="eastAsia"/>
        </w:rPr>
      </w:pPr>
      <w:r>
        <w:rPr>
          <w:rFonts w:hint="eastAsia"/>
        </w:rPr>
        <w:t>管理区位于生产区的东面，夏季主导风向的侧风向上，同时，设置较宽阔的广场地和绿地，用绿化带与生产区隔离。</w:t>
      </w:r>
    </w:p>
    <w:p>
      <w:pPr>
        <w:pStyle w:val="14"/>
        <w:rPr>
          <w:rFonts w:hint="eastAsia"/>
        </w:rPr>
      </w:pPr>
      <w:r>
        <w:rPr>
          <w:rFonts w:hint="eastAsia"/>
        </w:rPr>
        <w:t>二、生产区</w:t>
      </w:r>
    </w:p>
    <w:p>
      <w:pPr>
        <w:pStyle w:val="14"/>
        <w:rPr>
          <w:rFonts w:hint="eastAsia"/>
        </w:rPr>
      </w:pPr>
      <w:r>
        <w:rPr>
          <w:rFonts w:hint="eastAsia"/>
        </w:rPr>
        <w:t>生产区主要建构筑物有进水井、进水泵房、细格栅沉砂池、调节池及事故池、混凝沉淀池、水解及A</w:t>
      </w:r>
      <w:r>
        <w:rPr>
          <w:rFonts w:hint="eastAsia"/>
          <w:vertAlign w:val="superscript"/>
        </w:rPr>
        <w:t>2</w:t>
      </w:r>
      <w:r>
        <w:rPr>
          <w:rFonts w:hint="eastAsia"/>
        </w:rPr>
        <w:t>/O池、二沉池、紫外线消毒池、污泥脱水机房及加药间、综合车间及变配电间、出水分析室等。污泥处理单元布置在厂区西面，各主要构筑物与周边环境敏感点的距离满足防护距离要求，各建构筑物通过道路、人行道及绿化隔开，使得功能分区更为明显、合理。在厂区四周边缘留有适当宽度防护绿化带，以减少污水厂在污水污泥处理过程中产生的臭气污染周围的环境。</w:t>
      </w:r>
    </w:p>
    <w:p>
      <w:pPr>
        <w:pStyle w:val="21"/>
        <w:rPr>
          <w:rFonts w:hint="eastAsia"/>
          <w:lang w:val="en-US" w:eastAsia="zh-CN"/>
        </w:rPr>
      </w:pPr>
      <w:r>
        <w:rPr>
          <w:rFonts w:hint="eastAsia"/>
          <w:lang w:val="en-US" w:eastAsia="zh-CN"/>
        </w:rPr>
        <w:t>2.1.5风险物质使用情况</w:t>
      </w:r>
      <w:bookmarkEnd w:id="147"/>
      <w:bookmarkEnd w:id="148"/>
      <w:bookmarkEnd w:id="149"/>
      <w:bookmarkEnd w:id="150"/>
    </w:p>
    <w:p>
      <w:pPr>
        <w:pStyle w:val="14"/>
        <w:rPr>
          <w:rFonts w:hint="default"/>
        </w:rPr>
      </w:pPr>
      <w:r>
        <w:rPr>
          <w:rFonts w:hint="eastAsia"/>
          <w:lang w:val="en-US" w:eastAsia="zh-CN"/>
        </w:rPr>
        <w:t>赣州经开区污水</w:t>
      </w:r>
      <w:r>
        <w:rPr>
          <w:rFonts w:hint="eastAsia"/>
          <w:lang w:eastAsia="zh-CN"/>
        </w:rPr>
        <w:t>处理厂全过程</w:t>
      </w:r>
      <w:r>
        <w:rPr>
          <w:rFonts w:hint="default"/>
        </w:rPr>
        <w:t>涉及的风险物质如下表所示。</w:t>
      </w:r>
    </w:p>
    <w:p>
      <w:pPr>
        <w:pStyle w:val="16"/>
        <w:rPr>
          <w:rFonts w:hint="default"/>
        </w:rPr>
      </w:pPr>
      <w:r>
        <w:rPr>
          <w:rFonts w:hint="default"/>
        </w:rPr>
        <w:t>表</w:t>
      </w:r>
      <w:r>
        <w:rPr>
          <w:rFonts w:hint="default"/>
          <w:lang w:val="en-US" w:eastAsia="zh-CN"/>
        </w:rPr>
        <w:t>2.1-</w:t>
      </w:r>
      <w:r>
        <w:rPr>
          <w:rFonts w:hint="eastAsia"/>
          <w:lang w:val="en-US" w:eastAsia="zh-CN"/>
        </w:rPr>
        <w:t>6</w:t>
      </w:r>
      <w:r>
        <w:rPr>
          <w:rFonts w:hint="default"/>
        </w:rPr>
        <w:t xml:space="preserve">  </w:t>
      </w:r>
      <w:r>
        <w:rPr>
          <w:rFonts w:hint="eastAsia"/>
          <w:lang w:eastAsia="zh-CN"/>
        </w:rPr>
        <w:t>赣州经开区</w:t>
      </w:r>
      <w:r>
        <w:rPr>
          <w:rFonts w:hint="default"/>
          <w:lang w:eastAsia="zh-CN"/>
        </w:rPr>
        <w:t>污水</w:t>
      </w:r>
      <w:r>
        <w:rPr>
          <w:rFonts w:hint="eastAsia"/>
          <w:lang w:eastAsia="zh-CN"/>
        </w:rPr>
        <w:t>处理</w:t>
      </w:r>
      <w:r>
        <w:rPr>
          <w:rFonts w:hint="default"/>
          <w:lang w:eastAsia="zh-CN"/>
        </w:rPr>
        <w:t>厂</w:t>
      </w:r>
      <w:r>
        <w:rPr>
          <w:rFonts w:hint="default"/>
        </w:rPr>
        <w:t>运行主要风险物质用量及储存情况</w:t>
      </w:r>
    </w:p>
    <w:tbl>
      <w:tblPr>
        <w:tblStyle w:val="10"/>
        <w:tblW w:w="8334"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
      <w:tblGrid>
        <w:gridCol w:w="610"/>
        <w:gridCol w:w="1435"/>
        <w:gridCol w:w="1228"/>
        <w:gridCol w:w="1228"/>
        <w:gridCol w:w="1423"/>
        <w:gridCol w:w="1212"/>
        <w:gridCol w:w="119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Ex>
        <w:trPr>
          <w:trHeight w:val="397" w:hRule="atLeast"/>
          <w:jc w:val="center"/>
        </w:trPr>
        <w:tc>
          <w:tcPr>
            <w:tcW w:w="610" w:type="dxa"/>
            <w:tcBorders>
              <w:tl2br w:val="nil"/>
              <w:tr2bl w:val="nil"/>
            </w:tcBorders>
            <w:shd w:val="clear" w:color="auto" w:fill="auto"/>
            <w:vAlign w:val="center"/>
          </w:tcPr>
          <w:p>
            <w:pPr>
              <w:pStyle w:val="18"/>
              <w:rPr>
                <w:rFonts w:hint="default"/>
                <w:lang w:eastAsia="zh-CN"/>
              </w:rPr>
            </w:pPr>
            <w:bookmarkStart w:id="151" w:name="_Toc26648"/>
            <w:bookmarkStart w:id="152" w:name="_Toc12237"/>
            <w:r>
              <w:rPr>
                <w:rFonts w:hint="eastAsia"/>
                <w:lang w:eastAsia="zh-CN"/>
              </w:rPr>
              <w:t>序号</w:t>
            </w:r>
          </w:p>
        </w:tc>
        <w:tc>
          <w:tcPr>
            <w:tcW w:w="1435" w:type="dxa"/>
            <w:tcBorders>
              <w:tl2br w:val="nil"/>
              <w:tr2bl w:val="nil"/>
            </w:tcBorders>
            <w:shd w:val="clear" w:color="auto" w:fill="auto"/>
            <w:vAlign w:val="center"/>
          </w:tcPr>
          <w:p>
            <w:pPr>
              <w:pStyle w:val="18"/>
              <w:rPr>
                <w:rFonts w:hint="eastAsia"/>
                <w:lang w:val="en-US" w:eastAsia="zh-CN"/>
              </w:rPr>
            </w:pPr>
            <w:r>
              <w:rPr>
                <w:rFonts w:hint="default"/>
                <w:lang w:eastAsia="zh-CN"/>
              </w:rPr>
              <w:t>名称</w:t>
            </w:r>
          </w:p>
        </w:tc>
        <w:tc>
          <w:tcPr>
            <w:tcW w:w="1228" w:type="dxa"/>
            <w:tcBorders>
              <w:tl2br w:val="nil"/>
              <w:tr2bl w:val="nil"/>
            </w:tcBorders>
            <w:shd w:val="clear" w:color="auto" w:fill="auto"/>
            <w:vAlign w:val="center"/>
          </w:tcPr>
          <w:p>
            <w:pPr>
              <w:pStyle w:val="18"/>
              <w:rPr>
                <w:rFonts w:hint="default"/>
                <w:lang w:val="en-US" w:eastAsia="zh-CN"/>
              </w:rPr>
            </w:pPr>
            <w:r>
              <w:rPr>
                <w:rFonts w:hint="eastAsia"/>
                <w:lang w:val="en-US" w:eastAsia="zh-CN"/>
              </w:rPr>
              <w:t>形态</w:t>
            </w:r>
          </w:p>
        </w:tc>
        <w:tc>
          <w:tcPr>
            <w:tcW w:w="1228" w:type="dxa"/>
            <w:tcBorders>
              <w:tl2br w:val="nil"/>
              <w:tr2bl w:val="nil"/>
            </w:tcBorders>
            <w:shd w:val="clear" w:color="auto" w:fill="auto"/>
            <w:vAlign w:val="center"/>
          </w:tcPr>
          <w:p>
            <w:pPr>
              <w:pStyle w:val="18"/>
              <w:rPr>
                <w:rFonts w:hint="eastAsia"/>
                <w:lang w:val="en-US" w:eastAsia="zh-CN"/>
              </w:rPr>
            </w:pPr>
            <w:r>
              <w:rPr>
                <w:rFonts w:hint="default"/>
                <w:lang w:val="en-US" w:eastAsia="zh-CN"/>
              </w:rPr>
              <w:t>最大储存量</w:t>
            </w:r>
          </w:p>
        </w:tc>
        <w:tc>
          <w:tcPr>
            <w:tcW w:w="1423" w:type="dxa"/>
            <w:tcBorders>
              <w:tl2br w:val="nil"/>
              <w:tr2bl w:val="nil"/>
            </w:tcBorders>
            <w:shd w:val="clear" w:color="auto" w:fill="auto"/>
            <w:vAlign w:val="center"/>
          </w:tcPr>
          <w:p>
            <w:pPr>
              <w:pStyle w:val="18"/>
              <w:rPr>
                <w:rFonts w:hint="eastAsia"/>
                <w:lang w:val="en-US" w:eastAsia="zh-CN"/>
              </w:rPr>
            </w:pPr>
            <w:r>
              <w:rPr>
                <w:rFonts w:hint="default"/>
                <w:lang w:eastAsia="zh-CN"/>
              </w:rPr>
              <w:t>存储形式</w:t>
            </w:r>
          </w:p>
        </w:tc>
        <w:tc>
          <w:tcPr>
            <w:tcW w:w="1212" w:type="dxa"/>
            <w:tcBorders>
              <w:tl2br w:val="nil"/>
              <w:tr2bl w:val="nil"/>
            </w:tcBorders>
            <w:shd w:val="clear" w:color="auto" w:fill="auto"/>
            <w:vAlign w:val="center"/>
          </w:tcPr>
          <w:p>
            <w:pPr>
              <w:pStyle w:val="18"/>
              <w:rPr>
                <w:rFonts w:hint="default"/>
                <w:lang w:eastAsia="zh-CN"/>
              </w:rPr>
            </w:pPr>
            <w:r>
              <w:rPr>
                <w:rFonts w:hint="default"/>
                <w:lang w:eastAsia="zh-CN"/>
              </w:rPr>
              <w:t>储存位置</w:t>
            </w:r>
          </w:p>
        </w:tc>
        <w:tc>
          <w:tcPr>
            <w:tcW w:w="1198" w:type="dxa"/>
            <w:tcBorders>
              <w:tl2br w:val="nil"/>
              <w:tr2bl w:val="nil"/>
            </w:tcBorders>
            <w:shd w:val="clear" w:color="auto" w:fill="auto"/>
            <w:vAlign w:val="center"/>
          </w:tcPr>
          <w:p>
            <w:pPr>
              <w:pStyle w:val="18"/>
              <w:rPr>
                <w:rFonts w:hint="default"/>
                <w:lang w:eastAsia="zh-CN"/>
              </w:rPr>
            </w:pPr>
            <w:r>
              <w:rPr>
                <w:rFonts w:hint="default"/>
                <w:lang w:eastAsia="zh-CN"/>
              </w:rPr>
              <w:t>备注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Ex>
        <w:trPr>
          <w:trHeight w:val="397" w:hRule="atLeast"/>
          <w:jc w:val="center"/>
        </w:trPr>
        <w:tc>
          <w:tcPr>
            <w:tcW w:w="610" w:type="dxa"/>
            <w:tcBorders>
              <w:tl2br w:val="nil"/>
              <w:tr2bl w:val="nil"/>
            </w:tcBorders>
            <w:shd w:val="clear" w:color="auto" w:fill="auto"/>
            <w:vAlign w:val="center"/>
          </w:tcPr>
          <w:p>
            <w:pPr>
              <w:pStyle w:val="18"/>
              <w:rPr>
                <w:rFonts w:hint="eastAsia"/>
                <w:lang w:val="en-US" w:eastAsia="zh-CN"/>
              </w:rPr>
            </w:pPr>
            <w:r>
              <w:rPr>
                <w:rFonts w:hint="eastAsia"/>
                <w:lang w:val="en-US" w:eastAsia="zh-CN"/>
              </w:rPr>
              <w:t>1</w:t>
            </w:r>
          </w:p>
        </w:tc>
        <w:tc>
          <w:tcPr>
            <w:tcW w:w="1435" w:type="dxa"/>
            <w:tcBorders>
              <w:tl2br w:val="nil"/>
              <w:tr2bl w:val="nil"/>
            </w:tcBorders>
            <w:shd w:val="clear" w:color="auto" w:fill="auto"/>
            <w:vAlign w:val="center"/>
          </w:tcPr>
          <w:p>
            <w:pPr>
              <w:pStyle w:val="18"/>
              <w:rPr>
                <w:rFonts w:hint="eastAsia"/>
                <w:lang w:val="en-US" w:eastAsia="zh-CN"/>
              </w:rPr>
            </w:pPr>
            <w:r>
              <w:rPr>
                <w:rFonts w:hint="eastAsia"/>
                <w:lang w:eastAsia="zh-CN"/>
              </w:rPr>
              <w:t>乙醇</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液体</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0.002t</w:t>
            </w:r>
          </w:p>
        </w:tc>
        <w:tc>
          <w:tcPr>
            <w:tcW w:w="1423" w:type="dxa"/>
            <w:tcBorders>
              <w:tl2br w:val="nil"/>
              <w:tr2bl w:val="nil"/>
            </w:tcBorders>
            <w:shd w:val="clear" w:color="auto" w:fill="auto"/>
            <w:vAlign w:val="center"/>
          </w:tcPr>
          <w:p>
            <w:pPr>
              <w:pStyle w:val="18"/>
              <w:rPr>
                <w:rFonts w:hint="eastAsia"/>
                <w:lang w:val="en-US" w:eastAsia="zh-CN"/>
              </w:rPr>
            </w:pPr>
            <w:r>
              <w:rPr>
                <w:rFonts w:hint="eastAsia"/>
                <w:lang w:val="en-US" w:eastAsia="zh-CN"/>
              </w:rPr>
              <w:t>瓶装</w:t>
            </w:r>
          </w:p>
        </w:tc>
        <w:tc>
          <w:tcPr>
            <w:tcW w:w="1212" w:type="dxa"/>
            <w:tcBorders>
              <w:tl2br w:val="nil"/>
              <w:tr2bl w:val="nil"/>
            </w:tcBorders>
            <w:shd w:val="clear" w:color="auto" w:fill="auto"/>
            <w:vAlign w:val="center"/>
          </w:tcPr>
          <w:p>
            <w:pPr>
              <w:pStyle w:val="18"/>
              <w:rPr>
                <w:rFonts w:hint="eastAsia"/>
                <w:lang w:val="en-US" w:eastAsia="zh-CN"/>
              </w:rPr>
            </w:pPr>
            <w:r>
              <w:rPr>
                <w:rFonts w:hint="eastAsia"/>
                <w:lang w:val="en-US" w:eastAsia="zh-CN"/>
              </w:rPr>
              <w:t>实验室</w:t>
            </w:r>
          </w:p>
        </w:tc>
        <w:tc>
          <w:tcPr>
            <w:tcW w:w="1198" w:type="dxa"/>
            <w:tcBorders>
              <w:tl2br w:val="nil"/>
              <w:tr2bl w:val="nil"/>
            </w:tcBorders>
            <w:shd w:val="clear" w:color="auto" w:fill="auto"/>
            <w:vAlign w:val="center"/>
          </w:tcPr>
          <w:p>
            <w:pPr>
              <w:pStyle w:val="18"/>
              <w:rPr>
                <w:rFonts w:hint="eastAsia"/>
                <w:lang w:val="en-US" w:eastAsia="zh-CN"/>
              </w:rPr>
            </w:pPr>
            <w:r>
              <w:rPr>
                <w:rFonts w:hint="eastAsia"/>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Ex>
        <w:trPr>
          <w:trHeight w:val="397" w:hRule="atLeast"/>
          <w:jc w:val="center"/>
        </w:trPr>
        <w:tc>
          <w:tcPr>
            <w:tcW w:w="610" w:type="dxa"/>
            <w:tcBorders>
              <w:tl2br w:val="nil"/>
              <w:tr2bl w:val="nil"/>
            </w:tcBorders>
            <w:shd w:val="clear" w:color="auto" w:fill="auto"/>
            <w:vAlign w:val="center"/>
          </w:tcPr>
          <w:p>
            <w:pPr>
              <w:pStyle w:val="18"/>
              <w:rPr>
                <w:rFonts w:hint="eastAsia"/>
                <w:lang w:val="en-US" w:eastAsia="zh-CN"/>
              </w:rPr>
            </w:pPr>
            <w:r>
              <w:rPr>
                <w:rFonts w:hint="eastAsia"/>
                <w:lang w:val="en-US" w:eastAsia="zh-CN"/>
              </w:rPr>
              <w:t>2</w:t>
            </w:r>
          </w:p>
        </w:tc>
        <w:tc>
          <w:tcPr>
            <w:tcW w:w="1435" w:type="dxa"/>
            <w:tcBorders>
              <w:tl2br w:val="nil"/>
              <w:tr2bl w:val="nil"/>
            </w:tcBorders>
            <w:shd w:val="clear" w:color="auto" w:fill="auto"/>
            <w:vAlign w:val="center"/>
          </w:tcPr>
          <w:p>
            <w:pPr>
              <w:pStyle w:val="18"/>
              <w:rPr>
                <w:rFonts w:hint="eastAsia"/>
                <w:lang w:val="en-US" w:eastAsia="zh-CN"/>
              </w:rPr>
            </w:pPr>
            <w:r>
              <w:rPr>
                <w:rFonts w:hint="eastAsia"/>
                <w:lang w:eastAsia="zh-CN"/>
              </w:rPr>
              <w:t>氨水</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液体</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0.0005t</w:t>
            </w:r>
          </w:p>
        </w:tc>
        <w:tc>
          <w:tcPr>
            <w:tcW w:w="1423" w:type="dxa"/>
            <w:tcBorders>
              <w:tl2br w:val="nil"/>
              <w:tr2bl w:val="nil"/>
            </w:tcBorders>
            <w:shd w:val="clear" w:color="auto" w:fill="auto"/>
            <w:vAlign w:val="center"/>
          </w:tcPr>
          <w:p>
            <w:pPr>
              <w:pStyle w:val="18"/>
              <w:rPr>
                <w:rFonts w:hint="eastAsia"/>
                <w:lang w:val="en-US" w:eastAsia="zh-CN"/>
              </w:rPr>
            </w:pPr>
            <w:r>
              <w:rPr>
                <w:rFonts w:hint="eastAsia"/>
                <w:lang w:val="en-US" w:eastAsia="zh-CN"/>
              </w:rPr>
              <w:t>瓶装</w:t>
            </w:r>
          </w:p>
        </w:tc>
        <w:tc>
          <w:tcPr>
            <w:tcW w:w="1212" w:type="dxa"/>
            <w:tcBorders>
              <w:tl2br w:val="nil"/>
              <w:tr2bl w:val="nil"/>
            </w:tcBorders>
            <w:shd w:val="clear" w:color="auto" w:fill="auto"/>
            <w:vAlign w:val="center"/>
          </w:tcPr>
          <w:p>
            <w:pPr>
              <w:pStyle w:val="18"/>
              <w:rPr>
                <w:rFonts w:hint="eastAsia"/>
                <w:lang w:val="en-US" w:eastAsia="zh-CN"/>
              </w:rPr>
            </w:pPr>
            <w:r>
              <w:rPr>
                <w:rFonts w:hint="eastAsia"/>
                <w:lang w:val="en-US" w:eastAsia="zh-CN"/>
              </w:rPr>
              <w:t>实验室</w:t>
            </w:r>
          </w:p>
        </w:tc>
        <w:tc>
          <w:tcPr>
            <w:tcW w:w="1198" w:type="dxa"/>
            <w:tcBorders>
              <w:tl2br w:val="nil"/>
              <w:tr2bl w:val="nil"/>
            </w:tcBorders>
            <w:shd w:val="clear" w:color="auto" w:fill="auto"/>
            <w:vAlign w:val="center"/>
          </w:tcPr>
          <w:p>
            <w:pPr>
              <w:pStyle w:val="18"/>
              <w:rPr>
                <w:rFonts w:hint="eastAsia"/>
                <w:lang w:val="en-US" w:eastAsia="zh-CN"/>
              </w:rPr>
            </w:pPr>
            <w:r>
              <w:rPr>
                <w:rFonts w:hint="eastAsia"/>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Ex>
        <w:trPr>
          <w:trHeight w:val="397" w:hRule="atLeast"/>
          <w:jc w:val="center"/>
        </w:trPr>
        <w:tc>
          <w:tcPr>
            <w:tcW w:w="610" w:type="dxa"/>
            <w:tcBorders>
              <w:tl2br w:val="nil"/>
              <w:tr2bl w:val="nil"/>
            </w:tcBorders>
            <w:shd w:val="clear" w:color="auto" w:fill="auto"/>
            <w:vAlign w:val="center"/>
          </w:tcPr>
          <w:p>
            <w:pPr>
              <w:pStyle w:val="18"/>
              <w:rPr>
                <w:rFonts w:hint="eastAsia"/>
                <w:lang w:val="en-US" w:eastAsia="zh-CN"/>
              </w:rPr>
            </w:pPr>
            <w:r>
              <w:rPr>
                <w:rFonts w:hint="eastAsia"/>
                <w:lang w:val="en-US" w:eastAsia="zh-CN"/>
              </w:rPr>
              <w:t>3</w:t>
            </w:r>
          </w:p>
        </w:tc>
        <w:tc>
          <w:tcPr>
            <w:tcW w:w="1435" w:type="dxa"/>
            <w:tcBorders>
              <w:tl2br w:val="nil"/>
              <w:tr2bl w:val="nil"/>
            </w:tcBorders>
            <w:shd w:val="clear" w:color="auto" w:fill="auto"/>
            <w:vAlign w:val="center"/>
          </w:tcPr>
          <w:p>
            <w:pPr>
              <w:pStyle w:val="18"/>
              <w:rPr>
                <w:rFonts w:hint="eastAsia"/>
                <w:lang w:val="en-US" w:eastAsia="zh-CN"/>
              </w:rPr>
            </w:pPr>
            <w:r>
              <w:rPr>
                <w:rFonts w:hint="eastAsia"/>
                <w:lang w:eastAsia="zh-CN"/>
              </w:rPr>
              <w:t>硝酸</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液体</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0.0007t</w:t>
            </w:r>
          </w:p>
        </w:tc>
        <w:tc>
          <w:tcPr>
            <w:tcW w:w="1423" w:type="dxa"/>
            <w:tcBorders>
              <w:tl2br w:val="nil"/>
              <w:tr2bl w:val="nil"/>
            </w:tcBorders>
            <w:shd w:val="clear" w:color="auto" w:fill="auto"/>
            <w:vAlign w:val="center"/>
          </w:tcPr>
          <w:p>
            <w:pPr>
              <w:pStyle w:val="18"/>
              <w:rPr>
                <w:rFonts w:hint="eastAsia"/>
                <w:lang w:val="en-US" w:eastAsia="zh-CN"/>
              </w:rPr>
            </w:pPr>
            <w:r>
              <w:rPr>
                <w:rFonts w:hint="eastAsia"/>
                <w:lang w:val="en-US" w:eastAsia="zh-CN"/>
              </w:rPr>
              <w:t>瓶装</w:t>
            </w:r>
          </w:p>
        </w:tc>
        <w:tc>
          <w:tcPr>
            <w:tcW w:w="1212" w:type="dxa"/>
            <w:tcBorders>
              <w:tl2br w:val="nil"/>
              <w:tr2bl w:val="nil"/>
            </w:tcBorders>
            <w:shd w:val="clear" w:color="auto" w:fill="auto"/>
            <w:vAlign w:val="center"/>
          </w:tcPr>
          <w:p>
            <w:pPr>
              <w:pStyle w:val="18"/>
              <w:rPr>
                <w:rFonts w:hint="eastAsia"/>
                <w:lang w:val="en-US" w:eastAsia="zh-CN"/>
              </w:rPr>
            </w:pPr>
            <w:r>
              <w:rPr>
                <w:rFonts w:hint="eastAsia"/>
                <w:lang w:val="en-US" w:eastAsia="zh-CN"/>
              </w:rPr>
              <w:t>实验室</w:t>
            </w:r>
          </w:p>
        </w:tc>
        <w:tc>
          <w:tcPr>
            <w:tcW w:w="1198" w:type="dxa"/>
            <w:tcBorders>
              <w:tl2br w:val="nil"/>
              <w:tr2bl w:val="nil"/>
            </w:tcBorders>
            <w:shd w:val="clear" w:color="auto" w:fill="auto"/>
            <w:vAlign w:val="center"/>
          </w:tcPr>
          <w:p>
            <w:pPr>
              <w:pStyle w:val="18"/>
              <w:rPr>
                <w:rFonts w:hint="eastAsia"/>
                <w:lang w:val="en-US" w:eastAsia="zh-CN"/>
              </w:rPr>
            </w:pPr>
            <w:r>
              <w:rPr>
                <w:rFonts w:hint="eastAsia"/>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Ex>
        <w:trPr>
          <w:trHeight w:val="397" w:hRule="atLeast"/>
          <w:jc w:val="center"/>
        </w:trPr>
        <w:tc>
          <w:tcPr>
            <w:tcW w:w="610" w:type="dxa"/>
            <w:tcBorders>
              <w:tl2br w:val="nil"/>
              <w:tr2bl w:val="nil"/>
            </w:tcBorders>
            <w:shd w:val="clear" w:color="auto" w:fill="auto"/>
            <w:vAlign w:val="center"/>
          </w:tcPr>
          <w:p>
            <w:pPr>
              <w:pStyle w:val="18"/>
              <w:rPr>
                <w:rFonts w:hint="eastAsia"/>
                <w:lang w:val="en-US" w:eastAsia="zh-CN"/>
              </w:rPr>
            </w:pPr>
            <w:r>
              <w:rPr>
                <w:rFonts w:hint="eastAsia"/>
                <w:lang w:val="en-US" w:eastAsia="zh-CN"/>
              </w:rPr>
              <w:t>4</w:t>
            </w:r>
          </w:p>
        </w:tc>
        <w:tc>
          <w:tcPr>
            <w:tcW w:w="1435" w:type="dxa"/>
            <w:tcBorders>
              <w:tl2br w:val="nil"/>
              <w:tr2bl w:val="nil"/>
            </w:tcBorders>
            <w:shd w:val="clear" w:color="auto" w:fill="auto"/>
            <w:vAlign w:val="center"/>
          </w:tcPr>
          <w:p>
            <w:pPr>
              <w:pStyle w:val="18"/>
              <w:rPr>
                <w:rFonts w:hint="eastAsia"/>
                <w:lang w:val="en-US" w:eastAsia="zh-CN"/>
              </w:rPr>
            </w:pPr>
            <w:r>
              <w:rPr>
                <w:rFonts w:hint="eastAsia"/>
                <w:lang w:val="en-US" w:eastAsia="zh-CN"/>
              </w:rPr>
              <w:t>润滑油</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液体</w:t>
            </w:r>
          </w:p>
        </w:tc>
        <w:tc>
          <w:tcPr>
            <w:tcW w:w="1228" w:type="dxa"/>
            <w:tcBorders>
              <w:tl2br w:val="nil"/>
              <w:tr2bl w:val="nil"/>
            </w:tcBorders>
            <w:shd w:val="clear" w:color="auto" w:fill="auto"/>
            <w:vAlign w:val="center"/>
          </w:tcPr>
          <w:p>
            <w:pPr>
              <w:pStyle w:val="18"/>
              <w:rPr>
                <w:rFonts w:hint="eastAsia"/>
                <w:lang w:val="en-US" w:eastAsia="zh-CN"/>
              </w:rPr>
            </w:pPr>
            <w:r>
              <w:rPr>
                <w:rFonts w:hint="eastAsia"/>
                <w:lang w:val="en-US" w:eastAsia="zh-CN"/>
              </w:rPr>
              <w:t>8.72t</w:t>
            </w:r>
          </w:p>
        </w:tc>
        <w:tc>
          <w:tcPr>
            <w:tcW w:w="1423" w:type="dxa"/>
            <w:tcBorders>
              <w:tl2br w:val="nil"/>
              <w:tr2bl w:val="nil"/>
            </w:tcBorders>
            <w:shd w:val="clear" w:color="auto" w:fill="auto"/>
            <w:vAlign w:val="center"/>
          </w:tcPr>
          <w:p>
            <w:pPr>
              <w:pStyle w:val="18"/>
              <w:rPr>
                <w:rFonts w:hint="eastAsia"/>
                <w:lang w:eastAsia="zh-CN"/>
              </w:rPr>
            </w:pPr>
            <w:r>
              <w:rPr>
                <w:rFonts w:hint="eastAsia"/>
                <w:lang w:eastAsia="zh-CN"/>
              </w:rPr>
              <w:t>桶装</w:t>
            </w:r>
          </w:p>
        </w:tc>
        <w:tc>
          <w:tcPr>
            <w:tcW w:w="1212" w:type="dxa"/>
            <w:tcBorders>
              <w:tl2br w:val="nil"/>
              <w:tr2bl w:val="nil"/>
            </w:tcBorders>
            <w:shd w:val="clear" w:color="auto" w:fill="auto"/>
            <w:vAlign w:val="center"/>
          </w:tcPr>
          <w:p>
            <w:pPr>
              <w:pStyle w:val="18"/>
              <w:rPr>
                <w:rFonts w:hint="eastAsia"/>
                <w:lang w:eastAsia="zh-CN"/>
              </w:rPr>
            </w:pPr>
            <w:r>
              <w:rPr>
                <w:rFonts w:hint="eastAsia"/>
                <w:lang w:eastAsia="zh-CN"/>
              </w:rPr>
              <w:t>仓库</w:t>
            </w:r>
          </w:p>
        </w:tc>
        <w:tc>
          <w:tcPr>
            <w:tcW w:w="1198" w:type="dxa"/>
            <w:tcBorders>
              <w:tl2br w:val="nil"/>
              <w:tr2bl w:val="nil"/>
            </w:tcBorders>
            <w:shd w:val="clear" w:color="auto" w:fill="auto"/>
            <w:vAlign w:val="center"/>
          </w:tcPr>
          <w:p>
            <w:pPr>
              <w:pStyle w:val="18"/>
              <w:rPr>
                <w:rFonts w:hint="eastAsia"/>
                <w:lang w:val="en-US" w:eastAsia="zh-CN"/>
              </w:rPr>
            </w:pPr>
            <w:r>
              <w:rPr>
                <w:rFonts w:hint="eastAsia"/>
                <w:lang w:val="en-US" w:eastAsia="zh-CN"/>
              </w:rPr>
              <w:t>/</w:t>
            </w:r>
          </w:p>
        </w:tc>
      </w:tr>
    </w:tbl>
    <w:p>
      <w:pPr>
        <w:pStyle w:val="14"/>
        <w:rPr>
          <w:rFonts w:hint="default"/>
          <w:b/>
          <w:bCs/>
          <w:lang w:val="en-US" w:eastAsia="zh-CN"/>
        </w:rPr>
      </w:pPr>
      <w:r>
        <w:rPr>
          <w:rFonts w:hint="default"/>
          <w:b/>
          <w:bCs/>
          <w:lang w:val="en-US" w:eastAsia="zh-CN"/>
        </w:rPr>
        <w:t>理化</w:t>
      </w:r>
      <w:r>
        <w:rPr>
          <w:rFonts w:hint="eastAsia"/>
          <w:b/>
          <w:bCs/>
          <w:lang w:val="en-US" w:eastAsia="zh-CN"/>
        </w:rPr>
        <w:t>性质</w:t>
      </w:r>
      <w:r>
        <w:rPr>
          <w:rFonts w:hint="default"/>
          <w:b/>
          <w:bCs/>
          <w:lang w:val="en-US" w:eastAsia="zh-CN"/>
        </w:rPr>
        <w:t>：</w:t>
      </w:r>
    </w:p>
    <w:p>
      <w:pPr>
        <w:pStyle w:val="14"/>
        <w:rPr>
          <w:rFonts w:hint="default"/>
        </w:rPr>
      </w:pPr>
      <w:bookmarkStart w:id="153" w:name="_Toc24356"/>
      <w:r>
        <w:rPr>
          <w:rFonts w:hint="default"/>
          <w:b/>
          <w:bCs/>
        </w:rPr>
        <w:t>乙醇</w:t>
      </w:r>
      <w:r>
        <w:rPr>
          <w:rFonts w:hint="eastAsia"/>
          <w:lang w:eastAsia="zh-CN"/>
        </w:rPr>
        <w:t>：</w:t>
      </w:r>
      <w:r>
        <w:rPr>
          <w:rFonts w:hint="default"/>
        </w:rPr>
        <w:t>俗称酒精，是一种有机物，</w:t>
      </w:r>
      <w:r>
        <w:rPr>
          <w:rFonts w:hint="eastAsia"/>
          <w:lang w:eastAsia="zh-CN"/>
        </w:rPr>
        <w:t>在</w:t>
      </w:r>
      <w:r>
        <w:rPr>
          <w:rFonts w:hint="default"/>
        </w:rPr>
        <w:t>常温常压下是一种易燃、易挥发的无色透明液体，低毒性，纯液体不可直接饮用；具有特殊香味，并略带刺激；微甘，并伴有刺激的辛辣滋味。易燃，其蒸气能与空气形成</w:t>
      </w:r>
      <w:r>
        <w:rPr>
          <w:rFonts w:hint="default"/>
        </w:rPr>
        <w:fldChar w:fldCharType="begin"/>
      </w:r>
      <w:r>
        <w:rPr>
          <w:rFonts w:hint="default"/>
        </w:rPr>
        <w:instrText xml:space="preserve"> HYPERLINK "https://baike.sogou.com/lemma/ShowInnerLink.htm?lemmaId=24981492&amp;ss_c=ssc.citiao.link" \t "https://baike.sogou.com/_blank" </w:instrText>
      </w:r>
      <w:r>
        <w:rPr>
          <w:rFonts w:hint="default"/>
        </w:rPr>
        <w:fldChar w:fldCharType="separate"/>
      </w:r>
      <w:r>
        <w:rPr>
          <w:rFonts w:hint="default"/>
        </w:rPr>
        <w:t>爆炸性混合物</w:t>
      </w:r>
      <w:r>
        <w:rPr>
          <w:rFonts w:hint="default"/>
        </w:rPr>
        <w:fldChar w:fldCharType="end"/>
      </w:r>
      <w:r>
        <w:rPr>
          <w:rFonts w:hint="default"/>
        </w:rPr>
        <w:t>，能与水以任意比互溶。能与氯仿、乙醚、甲醇、丙酮和其他多数有机溶剂混溶，相对密度（d15.56）0.816。乙醇的用途很广，可用乙醇制造醋酸、饮料、香精、染料、燃料等。医疗上也常用体积分数为70%~75%的乙醇作</w:t>
      </w:r>
      <w:r>
        <w:rPr>
          <w:rFonts w:hint="default"/>
        </w:rPr>
        <w:fldChar w:fldCharType="begin"/>
      </w:r>
      <w:r>
        <w:rPr>
          <w:rFonts w:hint="default"/>
        </w:rPr>
        <w:instrText xml:space="preserve"> HYPERLINK "https://baike.sogou.com/lemma/ShowInnerLink.htm?lemmaId=747343&amp;ss_c=ssc.citiao.link" \t "https://baike.sogou.com/_blank" </w:instrText>
      </w:r>
      <w:r>
        <w:rPr>
          <w:rFonts w:hint="default"/>
        </w:rPr>
        <w:fldChar w:fldCharType="separate"/>
      </w:r>
      <w:r>
        <w:rPr>
          <w:rFonts w:hint="default"/>
        </w:rPr>
        <w:t>消毒剂</w:t>
      </w:r>
      <w:r>
        <w:rPr>
          <w:rFonts w:hint="default"/>
        </w:rPr>
        <w:fldChar w:fldCharType="end"/>
      </w:r>
      <w:r>
        <w:rPr>
          <w:rFonts w:hint="default"/>
        </w:rPr>
        <w:t>等，在国防化工、医疗卫生、食品工业、工农业生产中都有广泛的用途。</w:t>
      </w:r>
    </w:p>
    <w:p>
      <w:pPr>
        <w:pStyle w:val="14"/>
        <w:rPr>
          <w:rFonts w:hint="default"/>
        </w:rPr>
      </w:pPr>
      <w:r>
        <w:rPr>
          <w:rFonts w:hint="default"/>
          <w:b/>
          <w:bCs/>
        </w:rPr>
        <w:t>氨水</w:t>
      </w:r>
      <w:r>
        <w:rPr>
          <w:rFonts w:hint="eastAsia"/>
          <w:b/>
          <w:bCs/>
          <w:lang w:eastAsia="zh-CN"/>
        </w:rPr>
        <w:t>：</w:t>
      </w:r>
      <w:r>
        <w:rPr>
          <w:rFonts w:hint="default"/>
        </w:rPr>
        <w:t>又称</w:t>
      </w:r>
      <w:r>
        <w:rPr>
          <w:rFonts w:hint="default"/>
        </w:rPr>
        <w:fldChar w:fldCharType="begin"/>
      </w:r>
      <w:r>
        <w:rPr>
          <w:rFonts w:hint="default"/>
        </w:rPr>
        <w:instrText xml:space="preserve"> HYPERLINK "https://baike.sogou.com/lemma/ShowInnerLink.htm?lemmaId=7604793&amp;ss_c=ssc.citiao.link" \t "https://baike.sogou.com/_blank" </w:instrText>
      </w:r>
      <w:r>
        <w:rPr>
          <w:rFonts w:hint="default"/>
        </w:rPr>
        <w:fldChar w:fldCharType="separate"/>
      </w:r>
      <w:r>
        <w:rPr>
          <w:rFonts w:hint="default"/>
        </w:rPr>
        <w:t>阿摩尼亚水</w:t>
      </w:r>
      <w:r>
        <w:rPr>
          <w:rFonts w:hint="default"/>
        </w:rPr>
        <w:fldChar w:fldCharType="end"/>
      </w:r>
      <w:r>
        <w:rPr>
          <w:rFonts w:hint="default"/>
        </w:rPr>
        <w:t>，是氨气的水溶液，无色透明且具有刺激性气味。氨气熔点-77℃，沸点36℃，密度0.91g/cm³。氨气易溶于水、乙醇。易挥发，具有部分</w:t>
      </w:r>
      <w:r>
        <w:rPr>
          <w:rFonts w:hint="default"/>
        </w:rPr>
        <w:fldChar w:fldCharType="begin"/>
      </w:r>
      <w:r>
        <w:rPr>
          <w:rFonts w:hint="default"/>
        </w:rPr>
        <w:instrText xml:space="preserve"> HYPERLINK "https://baike.sogou.com/lemma/ShowInnerLink.htm?lemmaId=10634164&amp;ss_c=ssc.citiao.link" \t "https://baike.sogou.com/_blank" </w:instrText>
      </w:r>
      <w:r>
        <w:rPr>
          <w:rFonts w:hint="default"/>
        </w:rPr>
        <w:fldChar w:fldCharType="separate"/>
      </w:r>
      <w:r>
        <w:rPr>
          <w:rFonts w:hint="default"/>
        </w:rPr>
        <w:t>碱的通性</w:t>
      </w:r>
      <w:r>
        <w:rPr>
          <w:rFonts w:hint="default"/>
        </w:rPr>
        <w:fldChar w:fldCharType="end"/>
      </w:r>
      <w:r>
        <w:rPr>
          <w:rFonts w:hint="default"/>
        </w:rPr>
        <w:t>，氨水由氨气通入水中制得。氨气有毒，对眼、鼻、皮肤有刺激性和腐蚀性，能使人窒息，空气中最高容许浓度30mg/m³。主要用作化肥。工业氨水是含氨25%～28%的水溶液，氨水中仅有一小部分氨分子与水反应形成</w:t>
      </w:r>
      <w:r>
        <w:rPr>
          <w:rFonts w:hint="default"/>
        </w:rPr>
        <w:fldChar w:fldCharType="begin"/>
      </w:r>
      <w:r>
        <w:rPr>
          <w:rFonts w:hint="default"/>
        </w:rPr>
        <w:instrText xml:space="preserve"> HYPERLINK "https://baike.sogou.com/lemma/ShowInnerLink.htm?lemmaId=389285&amp;ss_c=ssc.citiao.link" \t "https://baike.sogou.com/_blank" </w:instrText>
      </w:r>
      <w:r>
        <w:rPr>
          <w:rFonts w:hint="default"/>
        </w:rPr>
        <w:fldChar w:fldCharType="separate"/>
      </w:r>
      <w:r>
        <w:rPr>
          <w:rFonts w:hint="default"/>
        </w:rPr>
        <w:t>铵离子</w:t>
      </w:r>
      <w:r>
        <w:rPr>
          <w:rFonts w:hint="default"/>
        </w:rPr>
        <w:fldChar w:fldCharType="end"/>
      </w:r>
      <w:r>
        <w:rPr>
          <w:rFonts w:hint="default"/>
        </w:rPr>
        <w:t>和</w:t>
      </w:r>
      <w:r>
        <w:rPr>
          <w:rFonts w:hint="default"/>
        </w:rPr>
        <w:fldChar w:fldCharType="begin"/>
      </w:r>
      <w:r>
        <w:rPr>
          <w:rFonts w:hint="default"/>
        </w:rPr>
        <w:instrText xml:space="preserve"> HYPERLINK "https://baike.sogou.com/lemma/ShowInnerLink.htm?lemmaId=7848370&amp;ss_c=ssc.citiao.link" \t "https://baike.sogou.com/_blank" </w:instrText>
      </w:r>
      <w:r>
        <w:rPr>
          <w:rFonts w:hint="default"/>
        </w:rPr>
        <w:fldChar w:fldCharType="separate"/>
      </w:r>
      <w:r>
        <w:rPr>
          <w:rFonts w:hint="default"/>
        </w:rPr>
        <w:t>氢氧根离子</w:t>
      </w:r>
      <w:r>
        <w:rPr>
          <w:rFonts w:hint="default"/>
        </w:rPr>
        <w:fldChar w:fldCharType="end"/>
      </w:r>
      <w:r>
        <w:rPr>
          <w:rFonts w:hint="default"/>
        </w:rPr>
        <w:t>，即一水合铵，是仅存在于氨水中的弱碱。氨水凝固点与氨水浓度有关，常用的(wt)20%浓度凝固点约为-35℃。与酸中和反应产生热。有燃烧爆炸危险。</w:t>
      </w:r>
      <w:r>
        <w:rPr>
          <w:rFonts w:hint="default"/>
        </w:rPr>
        <w:fldChar w:fldCharType="begin"/>
      </w:r>
      <w:r>
        <w:rPr>
          <w:rFonts w:hint="default"/>
        </w:rPr>
        <w:instrText xml:space="preserve"> HYPERLINK "https://baike.sogou.com/lemma/ShowInnerLink.htm?lemmaId=425437&amp;ss_c=ssc.citiao.link" \t "https://baike.sogou.com/_blank" </w:instrText>
      </w:r>
      <w:r>
        <w:rPr>
          <w:rFonts w:hint="default"/>
        </w:rPr>
        <w:fldChar w:fldCharType="separate"/>
      </w:r>
      <w:r>
        <w:rPr>
          <w:rFonts w:hint="default"/>
        </w:rPr>
        <w:t>比热容</w:t>
      </w:r>
      <w:r>
        <w:rPr>
          <w:rFonts w:hint="default"/>
        </w:rPr>
        <w:fldChar w:fldCharType="end"/>
      </w:r>
      <w:r>
        <w:rPr>
          <w:rFonts w:hint="default"/>
        </w:rPr>
        <w:t>为4.3×10³J/kg·℃﹙10%的氨水）</w:t>
      </w:r>
    </w:p>
    <w:p>
      <w:pPr>
        <w:pStyle w:val="14"/>
        <w:rPr>
          <w:rFonts w:hint="default"/>
        </w:rPr>
      </w:pPr>
      <w:r>
        <w:rPr>
          <w:b/>
          <w:bCs/>
        </w:rPr>
        <w:t>硝酸</w:t>
      </w:r>
      <w:r>
        <w:rPr>
          <w:rFonts w:hint="eastAsia"/>
          <w:b/>
          <w:bCs/>
          <w:lang w:val="en-US" w:eastAsia="zh-CN"/>
        </w:rPr>
        <w:t>:</w:t>
      </w:r>
      <w:r>
        <w:rPr>
          <w:rFonts w:hint="default"/>
        </w:rPr>
        <w:t>一种具有强</w:t>
      </w:r>
      <w:r>
        <w:rPr>
          <w:rStyle w:val="15"/>
          <w:rFonts w:hint="default"/>
        </w:rPr>
        <w:fldChar w:fldCharType="begin"/>
      </w:r>
      <w:r>
        <w:rPr>
          <w:rStyle w:val="15"/>
          <w:rFonts w:hint="default"/>
        </w:rPr>
        <w:instrText xml:space="preserve"> HYPERLINK "https://baike.sogou.com/lemma/ShowInnerLink.htm?lemmaId=379884&amp;ss_c=ssc.citiao.link" \t "https://baike.sogou.com/_blank" </w:instrText>
      </w:r>
      <w:r>
        <w:rPr>
          <w:rStyle w:val="15"/>
          <w:rFonts w:hint="default"/>
        </w:rPr>
        <w:fldChar w:fldCharType="separate"/>
      </w:r>
      <w:r>
        <w:rPr>
          <w:rStyle w:val="15"/>
          <w:rFonts w:hint="default"/>
        </w:rPr>
        <w:t>氧化性</w:t>
      </w:r>
      <w:r>
        <w:rPr>
          <w:rStyle w:val="15"/>
          <w:rFonts w:hint="default"/>
        </w:rPr>
        <w:fldChar w:fldCharType="end"/>
      </w:r>
      <w:r>
        <w:rPr>
          <w:rFonts w:hint="default"/>
        </w:rPr>
        <w:t>、腐蚀性的强酸，属于一元无机强酸，是六大无机强酸之一，也是一种重要的化工原料。在工业上可用于制化肥、农药、炸药、染料、盐类等；在有机化学中，</w:t>
      </w:r>
      <w:r>
        <w:rPr>
          <w:rStyle w:val="15"/>
          <w:rFonts w:hint="default"/>
        </w:rPr>
        <w:fldChar w:fldCharType="begin"/>
      </w:r>
      <w:r>
        <w:rPr>
          <w:rStyle w:val="15"/>
          <w:rFonts w:hint="default"/>
        </w:rPr>
        <w:instrText xml:space="preserve"> HYPERLINK "https://baike.sogou.com/lemma/ShowInnerLink.htm?lemmaId=7711236&amp;ss_c=ssc.citiao.link" \t "https://baike.sogou.com/_blank" </w:instrText>
      </w:r>
      <w:r>
        <w:rPr>
          <w:rStyle w:val="15"/>
          <w:rFonts w:hint="default"/>
        </w:rPr>
        <w:fldChar w:fldCharType="separate"/>
      </w:r>
      <w:r>
        <w:rPr>
          <w:rStyle w:val="15"/>
          <w:rFonts w:hint="default"/>
        </w:rPr>
        <w:t>浓硝酸</w:t>
      </w:r>
      <w:r>
        <w:rPr>
          <w:rStyle w:val="15"/>
          <w:rFonts w:hint="default"/>
        </w:rPr>
        <w:fldChar w:fldCharType="end"/>
      </w:r>
      <w:r>
        <w:rPr>
          <w:rStyle w:val="15"/>
          <w:rFonts w:hint="default"/>
        </w:rPr>
        <w:t>与</w:t>
      </w:r>
      <w:r>
        <w:rPr>
          <w:rStyle w:val="15"/>
          <w:rFonts w:hint="default"/>
        </w:rPr>
        <w:fldChar w:fldCharType="begin"/>
      </w:r>
      <w:r>
        <w:rPr>
          <w:rStyle w:val="15"/>
          <w:rFonts w:hint="default"/>
        </w:rPr>
        <w:instrText xml:space="preserve"> HYPERLINK "https://baike.sogou.com/lemma/ShowInnerLink.htm?lemmaId=262156&amp;ss_c=ssc.citiao.link" \t "https://baike.sogou.com/_blank" </w:instrText>
      </w:r>
      <w:r>
        <w:rPr>
          <w:rStyle w:val="15"/>
          <w:rFonts w:hint="default"/>
        </w:rPr>
        <w:fldChar w:fldCharType="separate"/>
      </w:r>
      <w:r>
        <w:rPr>
          <w:rStyle w:val="15"/>
          <w:rFonts w:hint="default"/>
        </w:rPr>
        <w:t>浓硫酸</w:t>
      </w:r>
      <w:r>
        <w:rPr>
          <w:rStyle w:val="15"/>
          <w:rFonts w:hint="default"/>
        </w:rPr>
        <w:fldChar w:fldCharType="end"/>
      </w:r>
      <w:r>
        <w:rPr>
          <w:rFonts w:hint="default"/>
        </w:rPr>
        <w:t>的混合液是重要的硝化试剂，其水溶液俗称硝镪水或氨氮水。所属的危险符号是O（Oxidizing agent 氧化剂）与C（</w:t>
      </w:r>
      <w:r>
        <w:rPr>
          <w:rStyle w:val="15"/>
          <w:rFonts w:hint="default"/>
        </w:rPr>
        <w:t>Corrosive </w:t>
      </w:r>
      <w:r>
        <w:rPr>
          <w:rStyle w:val="15"/>
          <w:rFonts w:hint="default"/>
        </w:rPr>
        <w:fldChar w:fldCharType="begin"/>
      </w:r>
      <w:r>
        <w:rPr>
          <w:rStyle w:val="15"/>
          <w:rFonts w:hint="default"/>
        </w:rPr>
        <w:instrText xml:space="preserve"> HYPERLINK "https://baike.sogou.com/lemma/ShowInnerLink.htm?lemmaId=10504906&amp;ss_c=ssc.citiao.link" \t "https://baike.sogou.com/_blank" </w:instrText>
      </w:r>
      <w:r>
        <w:rPr>
          <w:rStyle w:val="15"/>
          <w:rFonts w:hint="default"/>
        </w:rPr>
        <w:fldChar w:fldCharType="separate"/>
      </w:r>
      <w:r>
        <w:rPr>
          <w:rStyle w:val="15"/>
          <w:rFonts w:hint="default"/>
        </w:rPr>
        <w:t>腐蚀品</w:t>
      </w:r>
      <w:r>
        <w:rPr>
          <w:rStyle w:val="15"/>
          <w:rFonts w:hint="default"/>
        </w:rPr>
        <w:fldChar w:fldCharType="end"/>
      </w:r>
      <w:r>
        <w:rPr>
          <w:rFonts w:hint="default"/>
        </w:rPr>
        <w:t>）。纯硝酸为无色透明液体，</w:t>
      </w:r>
      <w:r>
        <w:rPr>
          <w:rFonts w:hint="default"/>
        </w:rPr>
        <w:fldChar w:fldCharType="begin"/>
      </w:r>
      <w:r>
        <w:rPr>
          <w:rFonts w:hint="default"/>
        </w:rPr>
        <w:instrText xml:space="preserve"> HYPERLINK "https://baike.sogou.com/lemma/ShowInnerLink.htm?lemmaId=7711236&amp;ss_c=ssc.citiao.link" \t "https://baike.sogou.com/_blank" </w:instrText>
      </w:r>
      <w:r>
        <w:rPr>
          <w:rFonts w:hint="default"/>
        </w:rPr>
        <w:fldChar w:fldCharType="separate"/>
      </w:r>
      <w:r>
        <w:rPr>
          <w:rFonts w:hint="default"/>
        </w:rPr>
        <w:t>浓硝酸</w:t>
      </w:r>
      <w:r>
        <w:rPr>
          <w:rFonts w:hint="default"/>
        </w:rPr>
        <w:fldChar w:fldCharType="end"/>
      </w:r>
      <w:r>
        <w:rPr>
          <w:rFonts w:hint="default"/>
        </w:rPr>
        <w:t>为淡黄色液体（溶有 二氧化氮），正常情况下为无色透明液体，有窒息性刺激气味。浓硝酸含量为68%左右，易挥发，在空气中产生白雾（与</w:t>
      </w:r>
      <w:r>
        <w:rPr>
          <w:rFonts w:hint="default"/>
        </w:rPr>
        <w:fldChar w:fldCharType="begin"/>
      </w:r>
      <w:r>
        <w:rPr>
          <w:rFonts w:hint="default"/>
        </w:rPr>
        <w:instrText xml:space="preserve"> HYPERLINK "https://baike.sogou.com/lemma/ShowInnerLink.htm?lemmaId=5547955&amp;ss_c=ssc.citiao.link" \t "https://baike.sogou.com/_blank" </w:instrText>
      </w:r>
      <w:r>
        <w:rPr>
          <w:rFonts w:hint="default"/>
        </w:rPr>
        <w:fldChar w:fldCharType="separate"/>
      </w:r>
      <w:r>
        <w:rPr>
          <w:rFonts w:hint="default"/>
        </w:rPr>
        <w:t>浓盐酸</w:t>
      </w:r>
      <w:r>
        <w:rPr>
          <w:rFonts w:hint="default"/>
        </w:rPr>
        <w:fldChar w:fldCharType="end"/>
      </w:r>
      <w:r>
        <w:rPr>
          <w:rFonts w:hint="default"/>
        </w:rPr>
        <w:t>相同），是硝酸蒸汽（一般来说是浓硝酸分解出来的二氧化氮）与</w:t>
      </w:r>
      <w:r>
        <w:rPr>
          <w:rFonts w:hint="default"/>
        </w:rPr>
        <w:fldChar w:fldCharType="begin"/>
      </w:r>
      <w:r>
        <w:rPr>
          <w:rFonts w:hint="default"/>
        </w:rPr>
        <w:instrText xml:space="preserve"> HYPERLINK "https://baike.sogou.com/lemma/ShowInnerLink.htm?lemmaId=473037&amp;ss_c=ssc.citiao.link" \t "https://baike.sogou.com/_blank" </w:instrText>
      </w:r>
      <w:r>
        <w:rPr>
          <w:rFonts w:hint="default"/>
        </w:rPr>
        <w:fldChar w:fldCharType="separate"/>
      </w:r>
      <w:r>
        <w:rPr>
          <w:rFonts w:hint="default"/>
        </w:rPr>
        <w:t>水蒸汽</w:t>
      </w:r>
      <w:r>
        <w:rPr>
          <w:rFonts w:hint="default"/>
        </w:rPr>
        <w:fldChar w:fldCharType="end"/>
      </w:r>
      <w:r>
        <w:rPr>
          <w:rFonts w:hint="default"/>
        </w:rPr>
        <w:t>结合而形成的硝酸小液滴。露光能产生二氧化氮，二氧化氮重新溶解在硝酸中，从而变成棕色。有 强酸性。能使羊毛织物和动物组织变成嫩黄色。能与乙醇、 </w:t>
      </w:r>
      <w:r>
        <w:rPr>
          <w:rFonts w:hint="default"/>
        </w:rPr>
        <w:fldChar w:fldCharType="begin"/>
      </w:r>
      <w:r>
        <w:rPr>
          <w:rFonts w:hint="default"/>
        </w:rPr>
        <w:instrText xml:space="preserve"> HYPERLINK "https://baike.sogou.com/lemma/ShowInnerLink.htm?lemmaId=590527&amp;ss_c=ssc.citiao.link" \t "https://baike.sogou.com/_blank" </w:instrText>
      </w:r>
      <w:r>
        <w:rPr>
          <w:rFonts w:hint="default"/>
        </w:rPr>
        <w:fldChar w:fldCharType="separate"/>
      </w:r>
      <w:r>
        <w:rPr>
          <w:rFonts w:hint="default"/>
        </w:rPr>
        <w:t>松节油</w:t>
      </w:r>
      <w:r>
        <w:rPr>
          <w:rFonts w:hint="default"/>
        </w:rPr>
        <w:fldChar w:fldCharType="end"/>
      </w:r>
      <w:r>
        <w:rPr>
          <w:rFonts w:hint="default"/>
        </w:rPr>
        <w:t>、碳和其他有机物猛烈反应。能与水混溶。能与水形成 </w:t>
      </w:r>
      <w:r>
        <w:rPr>
          <w:rFonts w:hint="default"/>
        </w:rPr>
        <w:fldChar w:fldCharType="begin"/>
      </w:r>
      <w:r>
        <w:rPr>
          <w:rFonts w:hint="default"/>
        </w:rPr>
        <w:instrText xml:space="preserve"> HYPERLINK "https://baike.sogou.com/lemma/ShowInnerLink.htm?lemmaId=310670&amp;ss_c=ssc.citiao.link" \t "https://baike.sogou.com/_blank" </w:instrText>
      </w:r>
      <w:r>
        <w:rPr>
          <w:rFonts w:hint="default"/>
        </w:rPr>
        <w:fldChar w:fldCharType="separate"/>
      </w:r>
      <w:r>
        <w:rPr>
          <w:rFonts w:hint="default"/>
        </w:rPr>
        <w:t>共沸混合物</w:t>
      </w:r>
      <w:r>
        <w:rPr>
          <w:rFonts w:hint="default"/>
        </w:rPr>
        <w:fldChar w:fldCharType="end"/>
      </w:r>
      <w:r>
        <w:rPr>
          <w:rFonts w:hint="default"/>
        </w:rPr>
        <w:t>。相对密度(d204)1.41，熔点-42℃（无水） ，沸点120.5℃（68%）。对于</w:t>
      </w:r>
      <w:r>
        <w:rPr>
          <w:rFonts w:hint="default"/>
        </w:rPr>
        <w:fldChar w:fldCharType="begin"/>
      </w:r>
      <w:r>
        <w:rPr>
          <w:rFonts w:hint="default"/>
        </w:rPr>
        <w:instrText xml:space="preserve"> HYPERLINK "https://baike.sogou.com/lemma/ShowInnerLink.htm?lemmaId=7618648&amp;ss_c=ssc.citiao.link" \t "https://baike.sogou.com/_blank" </w:instrText>
      </w:r>
      <w:r>
        <w:rPr>
          <w:rFonts w:hint="default"/>
        </w:rPr>
        <w:fldChar w:fldCharType="separate"/>
      </w:r>
      <w:r>
        <w:rPr>
          <w:rFonts w:hint="default"/>
        </w:rPr>
        <w:t>稀硝酸</w:t>
      </w:r>
      <w:r>
        <w:rPr>
          <w:rFonts w:hint="default"/>
        </w:rPr>
        <w:fldChar w:fldCharType="end"/>
      </w:r>
      <w:r>
        <w:rPr>
          <w:rFonts w:hint="default"/>
        </w:rPr>
        <w:t>， 一般我们认为浓稀之间的界线是6mol/L，市售普通试剂级硝酸浓度约为68%左右，而工业级浓硝酸浓度则为98%，通常</w:t>
      </w:r>
      <w:r>
        <w:rPr>
          <w:rFonts w:hint="default"/>
        </w:rPr>
        <w:fldChar w:fldCharType="begin"/>
      </w:r>
      <w:r>
        <w:rPr>
          <w:rFonts w:hint="default"/>
        </w:rPr>
        <w:instrText xml:space="preserve"> HYPERLINK "https://baike.sogou.com/lemma/ShowInnerLink.htm?lemmaId=600260&amp;ss_c=ssc.citiao.link" \t "https://baike.sogou.com/_blank" </w:instrText>
      </w:r>
      <w:r>
        <w:rPr>
          <w:rFonts w:hint="default"/>
        </w:rPr>
        <w:fldChar w:fldCharType="separate"/>
      </w:r>
      <w:r>
        <w:rPr>
          <w:rFonts w:hint="default"/>
        </w:rPr>
        <w:t>发烟硝酸</w:t>
      </w:r>
      <w:r>
        <w:rPr>
          <w:rFonts w:hint="default"/>
        </w:rPr>
        <w:fldChar w:fldCharType="end"/>
      </w:r>
      <w:r>
        <w:rPr>
          <w:rFonts w:hint="default"/>
        </w:rPr>
        <w:t>浓度约为98%。</w:t>
      </w:r>
    </w:p>
    <w:p>
      <w:pPr>
        <w:pStyle w:val="14"/>
        <w:rPr>
          <w:rFonts w:hint="default"/>
        </w:rPr>
      </w:pPr>
      <w:r>
        <w:rPr>
          <w:b/>
          <w:bCs/>
        </w:rPr>
        <w:t>润滑油</w:t>
      </w:r>
      <w:r>
        <w:rPr>
          <w:rFonts w:hint="eastAsia"/>
          <w:b/>
          <w:bCs/>
          <w:lang w:eastAsia="zh-CN"/>
        </w:rPr>
        <w:t>：</w:t>
      </w:r>
      <w:r>
        <w:t>用在各种类型机械上以减少摩擦，保护机械及加工件的液体润滑剂，主要起润滑、冷却、防锈、清洁、密封和缓冲等作用。</w:t>
      </w:r>
      <w:r>
        <w:rPr>
          <w:rStyle w:val="15"/>
          <w:rFonts w:hint="default"/>
        </w:rPr>
        <w:fldChar w:fldCharType="begin"/>
      </w:r>
      <w:r>
        <w:rPr>
          <w:rStyle w:val="15"/>
          <w:rFonts w:hint="default"/>
        </w:rPr>
        <w:instrText xml:space="preserve"> HYPERLINK "https://baike.sogou.com/lemma/ShowInnerLink.htm?lemmaId=141259&amp;ss_c=ssc.citiao.link" \t "https://baike.sogou.com/_blank" </w:instrText>
      </w:r>
      <w:r>
        <w:rPr>
          <w:rStyle w:val="15"/>
          <w:rFonts w:hint="default"/>
        </w:rPr>
        <w:fldChar w:fldCharType="separate"/>
      </w:r>
      <w:r>
        <w:rPr>
          <w:rStyle w:val="15"/>
          <w:rFonts w:hint="default"/>
        </w:rPr>
        <w:t>润滑油添加剂</w:t>
      </w:r>
      <w:r>
        <w:rPr>
          <w:rStyle w:val="15"/>
          <w:rFonts w:hint="default"/>
        </w:rPr>
        <w:fldChar w:fldCharType="end"/>
      </w:r>
      <w:r>
        <w:rPr>
          <w:rStyle w:val="15"/>
          <w:rFonts w:hint="default"/>
        </w:rPr>
        <w:t>概</w:t>
      </w:r>
      <w:r>
        <w:rPr>
          <w:rFonts w:hint="default"/>
        </w:rPr>
        <w:t>念是加入润滑剂中的一种或几种化合物，以使润滑剂得到某种新的特性或改善润滑剂中已有的一些特性。添加剂按功能分主要有抗氧化剂、</w:t>
      </w:r>
      <w:r>
        <w:rPr>
          <w:rStyle w:val="15"/>
          <w:rFonts w:hint="default"/>
        </w:rPr>
        <w:fldChar w:fldCharType="begin"/>
      </w:r>
      <w:r>
        <w:rPr>
          <w:rStyle w:val="15"/>
          <w:rFonts w:hint="default"/>
        </w:rPr>
        <w:instrText xml:space="preserve"> HYPERLINK "https://baike.sogou.com/lemma/ShowInnerLink.htm?lemmaId=76528478&amp;ss_c=ssc.citiao.link" \t "https://baike.sogou.com/_blank" </w:instrText>
      </w:r>
      <w:r>
        <w:rPr>
          <w:rStyle w:val="15"/>
          <w:rFonts w:hint="default"/>
        </w:rPr>
        <w:fldChar w:fldCharType="separate"/>
      </w:r>
      <w:r>
        <w:rPr>
          <w:rStyle w:val="15"/>
          <w:rFonts w:hint="default"/>
        </w:rPr>
        <w:t>抗磨剂</w:t>
      </w:r>
      <w:r>
        <w:rPr>
          <w:rStyle w:val="15"/>
          <w:rFonts w:hint="default"/>
        </w:rPr>
        <w:fldChar w:fldCharType="end"/>
      </w:r>
      <w:r>
        <w:rPr>
          <w:rFonts w:hint="default"/>
        </w:rPr>
        <w:t>、摩擦改善剂(又名油性剂)、极压添加剂、清净剂、</w:t>
      </w:r>
      <w:r>
        <w:rPr>
          <w:rStyle w:val="15"/>
          <w:rFonts w:hint="default"/>
        </w:rPr>
        <w:fldChar w:fldCharType="begin"/>
      </w:r>
      <w:r>
        <w:rPr>
          <w:rStyle w:val="15"/>
          <w:rFonts w:hint="default"/>
        </w:rPr>
        <w:instrText xml:space="preserve"> HYPERLINK "https://baike.sogou.com/lemma/ShowInnerLink.htm?lemmaId=129712&amp;ss_c=ssc.citiao.link" \t "https://baike.sogou.com/_blank" </w:instrText>
      </w:r>
      <w:r>
        <w:rPr>
          <w:rStyle w:val="15"/>
          <w:rFonts w:hint="default"/>
        </w:rPr>
        <w:fldChar w:fldCharType="separate"/>
      </w:r>
      <w:r>
        <w:rPr>
          <w:rStyle w:val="15"/>
          <w:rFonts w:hint="default"/>
        </w:rPr>
        <w:t>分散剂</w:t>
      </w:r>
      <w:r>
        <w:rPr>
          <w:rStyle w:val="15"/>
          <w:rFonts w:hint="default"/>
        </w:rPr>
        <w:fldChar w:fldCharType="end"/>
      </w:r>
      <w:r>
        <w:rPr>
          <w:rStyle w:val="15"/>
          <w:rFonts w:hint="default"/>
        </w:rPr>
        <w:t>、泡沫抑制剂、防腐</w:t>
      </w:r>
      <w:r>
        <w:rPr>
          <w:rStyle w:val="15"/>
          <w:rFonts w:hint="default"/>
        </w:rPr>
        <w:fldChar w:fldCharType="begin"/>
      </w:r>
      <w:r>
        <w:rPr>
          <w:rStyle w:val="15"/>
          <w:rFonts w:hint="default"/>
        </w:rPr>
        <w:instrText xml:space="preserve"> HYPERLINK "https://baike.sogou.com/lemma/ShowInnerLink.htm?lemmaId=264153&amp;ss_c=ssc.citiao.link" \t "https://baike.sogou.com/_blank" </w:instrText>
      </w:r>
      <w:r>
        <w:rPr>
          <w:rStyle w:val="15"/>
          <w:rFonts w:hint="default"/>
        </w:rPr>
        <w:fldChar w:fldCharType="separate"/>
      </w:r>
      <w:r>
        <w:rPr>
          <w:rStyle w:val="15"/>
          <w:rFonts w:hint="default"/>
        </w:rPr>
        <w:t>防锈剂</w:t>
      </w:r>
      <w:r>
        <w:rPr>
          <w:rStyle w:val="15"/>
          <w:rFonts w:hint="default"/>
        </w:rPr>
        <w:fldChar w:fldCharType="end"/>
      </w:r>
      <w:r>
        <w:rPr>
          <w:rFonts w:hint="default"/>
        </w:rPr>
        <w:t>、流点改善剂、</w:t>
      </w:r>
      <w:r>
        <w:rPr>
          <w:rStyle w:val="15"/>
          <w:rFonts w:hint="default"/>
        </w:rPr>
        <w:fldChar w:fldCharType="begin"/>
      </w:r>
      <w:r>
        <w:rPr>
          <w:rStyle w:val="15"/>
          <w:rFonts w:hint="default"/>
        </w:rPr>
        <w:instrText xml:space="preserve"> HYPERLINK "https://baike.sogou.com/lemma/ShowInnerLink.htm?lemmaId=8627018&amp;ss_c=ssc.citiao.link" \t "https://baike.sogou.com/_blank" </w:instrText>
      </w:r>
      <w:r>
        <w:rPr>
          <w:rStyle w:val="15"/>
          <w:rFonts w:hint="default"/>
        </w:rPr>
        <w:fldChar w:fldCharType="separate"/>
      </w:r>
      <w:r>
        <w:rPr>
          <w:rStyle w:val="15"/>
          <w:rFonts w:hint="default"/>
        </w:rPr>
        <w:t>粘度指数</w:t>
      </w:r>
      <w:r>
        <w:rPr>
          <w:rStyle w:val="15"/>
          <w:rFonts w:hint="default"/>
        </w:rPr>
        <w:fldChar w:fldCharType="end"/>
      </w:r>
      <w:r>
        <w:rPr>
          <w:rFonts w:hint="default"/>
        </w:rPr>
        <w:t>增进剂等类型。市场中所销售的添加剂一般都是以上各单一添加剂的复合品，所不同的就是单一添加剂的成分不同以及</w:t>
      </w:r>
      <w:r>
        <w:rPr>
          <w:rStyle w:val="15"/>
          <w:rFonts w:hint="default"/>
        </w:rPr>
        <w:fldChar w:fldCharType="begin"/>
      </w:r>
      <w:r>
        <w:rPr>
          <w:rStyle w:val="15"/>
          <w:rFonts w:hint="default"/>
        </w:rPr>
        <w:instrText xml:space="preserve"> HYPERLINK "https://baike.sogou.com/lemma/ShowInnerLink.htm?lemmaId=72572735&amp;ss_c=ssc.citiao.link" \t "https://baike.sogou.com/_blank" </w:instrText>
      </w:r>
      <w:r>
        <w:rPr>
          <w:rStyle w:val="15"/>
          <w:rFonts w:hint="default"/>
        </w:rPr>
        <w:fldChar w:fldCharType="separate"/>
      </w:r>
      <w:r>
        <w:rPr>
          <w:rStyle w:val="15"/>
          <w:rFonts w:hint="default"/>
        </w:rPr>
        <w:t>复合添加剂</w:t>
      </w:r>
      <w:r>
        <w:rPr>
          <w:rStyle w:val="15"/>
          <w:rFonts w:hint="default"/>
        </w:rPr>
        <w:fldChar w:fldCharType="end"/>
      </w:r>
      <w:r>
        <w:rPr>
          <w:rFonts w:hint="default"/>
        </w:rPr>
        <w:t>内部几种单一添加剂的比例不同而已。</w:t>
      </w:r>
    </w:p>
    <w:bookmarkEnd w:id="151"/>
    <w:bookmarkEnd w:id="152"/>
    <w:bookmarkEnd w:id="153"/>
    <w:p>
      <w:pPr>
        <w:pStyle w:val="20"/>
        <w:rPr>
          <w:rFonts w:hint="default"/>
        </w:rPr>
      </w:pPr>
      <w:bookmarkStart w:id="154" w:name="_Toc18918_WPSOffice_Level1"/>
      <w:bookmarkStart w:id="155" w:name="_Toc1534"/>
      <w:bookmarkStart w:id="156" w:name="_Toc6111"/>
      <w:bookmarkStart w:id="157" w:name="_Toc19166"/>
      <w:r>
        <w:rPr>
          <w:rFonts w:hint="eastAsia"/>
          <w:lang w:val="en-US" w:eastAsia="zh-CN"/>
        </w:rPr>
        <w:t>2.2</w:t>
      </w:r>
      <w:r>
        <w:rPr>
          <w:rFonts w:hint="default"/>
        </w:rPr>
        <w:t>企业周边环境概况</w:t>
      </w:r>
      <w:bookmarkEnd w:id="154"/>
      <w:bookmarkEnd w:id="155"/>
      <w:bookmarkEnd w:id="156"/>
      <w:bookmarkEnd w:id="157"/>
    </w:p>
    <w:p>
      <w:pPr>
        <w:pStyle w:val="21"/>
      </w:pPr>
      <w:bookmarkStart w:id="158" w:name="_Toc454029246"/>
      <w:bookmarkStart w:id="159" w:name="_Toc14846_WPSOffice_Level2"/>
      <w:bookmarkStart w:id="160" w:name="_Toc466497311"/>
      <w:bookmarkStart w:id="161" w:name="_Toc13284"/>
      <w:bookmarkStart w:id="162" w:name="_Toc3253"/>
      <w:bookmarkStart w:id="163" w:name="_Toc32346_WPSOffice_Level2"/>
      <w:r>
        <w:rPr>
          <w:rFonts w:hint="eastAsia"/>
        </w:rPr>
        <w:t>2.</w:t>
      </w:r>
      <w:r>
        <w:rPr>
          <w:rFonts w:hint="eastAsia"/>
          <w:lang w:val="en-US" w:eastAsia="zh-CN"/>
        </w:rPr>
        <w:t>2</w:t>
      </w:r>
      <w:r>
        <w:rPr>
          <w:rFonts w:hint="eastAsia"/>
        </w:rPr>
        <w:t>.1 地理位置</w:t>
      </w:r>
      <w:bookmarkEnd w:id="158"/>
      <w:bookmarkEnd w:id="159"/>
      <w:bookmarkEnd w:id="160"/>
      <w:bookmarkEnd w:id="161"/>
      <w:bookmarkEnd w:id="162"/>
      <w:bookmarkEnd w:id="163"/>
    </w:p>
    <w:p>
      <w:pPr>
        <w:pStyle w:val="14"/>
        <w:rPr>
          <w:rFonts w:hint="eastAsia"/>
        </w:rPr>
      </w:pPr>
      <w:bookmarkStart w:id="164" w:name="_Toc30643"/>
      <w:bookmarkStart w:id="165" w:name="_Toc30674"/>
      <w:bookmarkStart w:id="166" w:name="_Toc30585_WPSOffice_Level2"/>
      <w:bookmarkStart w:id="167" w:name="_Toc454029247"/>
      <w:bookmarkStart w:id="168" w:name="_Toc466497312"/>
      <w:bookmarkStart w:id="169" w:name="_Toc15748_WPSOffice_Level2"/>
      <w:r>
        <w:rPr>
          <w:rFonts w:hint="eastAsia"/>
        </w:rPr>
        <w:t>赣州市是赣、粤、闽、湘四省通衢的现代化中心城市，是江西省的南大门，位于江西省大十字生产力布局的南部核心，城市发展腹地十分广阔。优越的区位和交通条件，良好的社会发展环境，使赣州市的社会经济和城市建设必将会出现一个飞跃时期。到2020年，该市城区将发展成为面积100平方公里、人口100万规模的现代化区域性中心城市。</w:t>
      </w:r>
    </w:p>
    <w:p>
      <w:pPr>
        <w:pStyle w:val="14"/>
      </w:pPr>
      <w:r>
        <w:rPr>
          <w:rFonts w:hint="eastAsia"/>
        </w:rPr>
        <w:t>赣州经济技术开发区位于赣州市西城区，于2010年3月21日经国务院批准为国家级开发区，现辖蟠龙、湖边、潭口、潭东四个镇和黄金岭街道办事处，面积219平方公里，常住人口28万，其中农业人口13.75万、城区生活人口14.25万。与河套内老城区仅一江之隔，大广、厦蓉高速公路在区内设有出入口，京九铁路、赣韶龙铁路在区内设有货运站台；从区内出发前往4D级赣州黄金机场、赣州火车站、长途汽车站只需15分钟车程，区内已开通九条公交线路，交通便利，出行方便。项目位于赣州经济技术开发区岗边村上坝，</w:t>
      </w:r>
      <w:r>
        <w:rPr>
          <w:rFonts w:hint="eastAsia"/>
          <w:lang w:val="en-US" w:eastAsia="zh-CN"/>
        </w:rPr>
        <w:t>占地面积34632.04m</w:t>
      </w:r>
      <w:r>
        <w:rPr>
          <w:rFonts w:hint="eastAsia"/>
          <w:vertAlign w:val="superscript"/>
          <w:lang w:val="en-US" w:eastAsia="zh-CN"/>
        </w:rPr>
        <w:t>2</w:t>
      </w:r>
      <w:r>
        <w:rPr>
          <w:rFonts w:hint="eastAsia"/>
          <w:lang w:val="en-US" w:eastAsia="zh-CN"/>
        </w:rPr>
        <w:t>，</w:t>
      </w:r>
      <w:r>
        <w:rPr>
          <w:rFonts w:hint="eastAsia"/>
          <w:lang w:eastAsia="zh-CN"/>
        </w:rPr>
        <w:t>厂区中心地理位置坐标为东经</w:t>
      </w:r>
      <w:r>
        <w:rPr>
          <w:rFonts w:hint="eastAsia"/>
          <w:lang w:val="en-US" w:eastAsia="zh-CN"/>
        </w:rPr>
        <w:t>114°54′39.85″，北纬25°54′02.28″。</w:t>
      </w:r>
    </w:p>
    <w:p>
      <w:pPr>
        <w:pStyle w:val="21"/>
      </w:pPr>
      <w:r>
        <w:rPr>
          <w:rFonts w:hint="eastAsia"/>
        </w:rPr>
        <w:t>2.1.2</w:t>
      </w:r>
      <w:r>
        <w:rPr>
          <w:rFonts w:hint="eastAsia"/>
          <w:lang w:eastAsia="zh-CN"/>
        </w:rPr>
        <w:t>地形、</w:t>
      </w:r>
      <w:r>
        <w:rPr>
          <w:rFonts w:hint="eastAsia"/>
        </w:rPr>
        <w:t>地质</w:t>
      </w:r>
      <w:r>
        <w:t>、地貌</w:t>
      </w:r>
      <w:bookmarkEnd w:id="164"/>
      <w:bookmarkEnd w:id="165"/>
      <w:bookmarkEnd w:id="166"/>
      <w:bookmarkEnd w:id="167"/>
      <w:bookmarkEnd w:id="168"/>
      <w:bookmarkEnd w:id="169"/>
    </w:p>
    <w:p>
      <w:pPr>
        <w:pStyle w:val="14"/>
        <w:rPr>
          <w:rFonts w:hint="eastAsia"/>
        </w:rPr>
      </w:pPr>
      <w:bookmarkStart w:id="170" w:name="_Toc466497313"/>
      <w:bookmarkStart w:id="171" w:name="_Toc22065"/>
      <w:bookmarkStart w:id="172" w:name="_Toc17775_WPSOffice_Level2"/>
      <w:bookmarkStart w:id="173" w:name="_Toc454029248"/>
      <w:bookmarkStart w:id="174" w:name="_Toc21583"/>
      <w:bookmarkStart w:id="175" w:name="_Toc18186_WPSOffice_Level2"/>
      <w:r>
        <w:rPr>
          <w:rFonts w:hint="eastAsia"/>
        </w:rPr>
        <w:t>境内地质构造位于赣州——瑞金东西向凹陷带与赣州——南雄北北东向凹陷带的复合部位。西北部与东南部出露震旦纪、寒武纪、泥盆纪、石炭纪地层和笔架山、峰山、龙下花岗岩，中部赣州盆地大面积出露白垩纪地层，局部见第三纪地层。河流两岸主要是第四纪地层。境内北北东向和北东向构造发育，其次有东西和北西向构造。</w:t>
      </w:r>
    </w:p>
    <w:p>
      <w:pPr>
        <w:pStyle w:val="14"/>
        <w:rPr>
          <w:rFonts w:hint="eastAsia"/>
        </w:rPr>
      </w:pPr>
      <w:r>
        <w:rPr>
          <w:rFonts w:hint="eastAsia"/>
        </w:rPr>
        <w:t>境内岩浆岩主要有加里东晚期黑云母花岗闪长岩、燕山早期第二阶段细中粒似斑状黑云母花岗岩、燕山早期第三阶段细粒黑云母花岗岩、脉岩。</w:t>
      </w:r>
    </w:p>
    <w:p>
      <w:pPr>
        <w:pStyle w:val="14"/>
      </w:pPr>
      <w:r>
        <w:rPr>
          <w:rFonts w:hint="eastAsia"/>
        </w:rPr>
        <w:t>境内构造作用强烈，挽近地质时期还有活动，新构造运动则以不时发生的地震为特征，1888年以来，发生3.5级以上的地震11次。主要构造体系有华夏式构造、新华夏系构造，还有北西向构造及东西向构造。</w:t>
      </w:r>
    </w:p>
    <w:p>
      <w:pPr>
        <w:pStyle w:val="14"/>
      </w:pPr>
      <w:r>
        <w:rPr>
          <w:rFonts w:hint="eastAsia"/>
        </w:rPr>
        <w:t>境内地处凹陷盆地中部，属低山丘陵区。地势由东南、西北向中部倾斜，略呈马鞍形。境内兼有各类地形，中部河谷宽阔，地势平坦，尤以章江河套为最，海拔105m左右；南北两端多为低山、丘陵，其中以东南面的峰山为最高，海拔1016m，最低点在水西乡白田村西部田塅，海拔93米；在平原与低山、丘陵过渡地带为低丘、岗地，构造明显呈鞍状形势。境内沿江平原占总面积的26.13%，丘陵山地占总面积65.71%，水面占总面积8.16%。土壤多偏酸性，丘陵以紫色粘土为主，沿江平原多为粘土、粉砂和砂砾组成的冲积土。</w:t>
      </w:r>
    </w:p>
    <w:p>
      <w:pPr>
        <w:pStyle w:val="21"/>
        <w:rPr>
          <w:rFonts w:hint="eastAsia" w:eastAsia="宋体"/>
          <w:lang w:eastAsia="zh-CN"/>
        </w:rPr>
      </w:pPr>
      <w:r>
        <w:rPr>
          <w:rFonts w:hint="eastAsia"/>
        </w:rPr>
        <w:t>2.1.3</w:t>
      </w:r>
      <w:r>
        <w:rPr>
          <w:rFonts w:hint="eastAsia"/>
          <w:lang w:eastAsia="zh-CN"/>
        </w:rPr>
        <w:t>水文</w:t>
      </w:r>
    </w:p>
    <w:p>
      <w:pPr>
        <w:pStyle w:val="14"/>
      </w:pPr>
      <w:r>
        <w:t>赣州市内主要水体为赣江，分为章、贡二水，汇水面积34844 km2。</w:t>
      </w:r>
      <w:r>
        <w:cr/>
      </w:r>
      <w:r>
        <w:t>　　</w:t>
      </w: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t>贡江</w:t>
      </w:r>
    </w:p>
    <w:p>
      <w:pPr>
        <w:pStyle w:val="14"/>
      </w:pPr>
      <w:r>
        <w:t>贡水源自福建长汀新乐山，西流经石城、瑞金、会昌，在绵、湘二江汇合处始称贡水，接纳濂江、梅江、平江、桃江，在章贡区与章水汇成赣江。全长319公里，流域面积27038平方公里，峡山水文站控制15975平方公里。从会昌白鹅入境东起黄麟朱田，流经梓山、西郊、贡江、罗坳、罗江，西至罗坳王屋入赣县，长66公里，落差25.6米。贡水峡山河段多年平均流量424立方米/秒，枯水期流量201立方米/秒。</w:t>
      </w:r>
    </w:p>
    <w:p>
      <w:pPr>
        <w:pStyle w:val="14"/>
      </w:pPr>
      <w:r>
        <w:t>为赣江河源，汇水面积27074 km2，流经12个县（市），占上游面积77.7%，占赣江总面积33.4%。贡水以瑞金县的绵江为河源，至赣州市全长277 km。在会昌城以上称绵江，县城以下称贡水。主要支流有湘水、廉江、梅江、琴江、平江和桃江。桃江是贡水最大的支流，汇水面积7913km</w:t>
      </w:r>
      <w:r>
        <w:rPr>
          <w:vertAlign w:val="superscript"/>
        </w:rPr>
        <w:t>2</w:t>
      </w:r>
      <w:r>
        <w:t>，占贡水29.2%，主河长307km，河源至赣州市河长328km，为赣江水系最长水道。梅江为贡水第二大支流，汇水面积7099km</w:t>
      </w:r>
      <w:r>
        <w:rPr>
          <w:vertAlign w:val="superscript"/>
        </w:rPr>
        <w:t>2</w:t>
      </w:r>
      <w:r>
        <w:t>，占贡水26.2%，主河长220km。</w:t>
      </w:r>
      <w:r>
        <w:cr/>
      </w:r>
      <w:r>
        <w:t xml:space="preserve">   </w:t>
      </w: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t>章水</w:t>
      </w:r>
      <w:r>
        <w:cr/>
      </w:r>
      <w:r>
        <w:t>　　古称豫章水，汇水面积7770 km</w:t>
      </w:r>
      <w:r>
        <w:rPr>
          <w:vertAlign w:val="superscript"/>
        </w:rPr>
        <w:t>2</w:t>
      </w:r>
      <w:r>
        <w:t>，占赣江上游面积22.3%，占赣江总面积9.6%。章水发源于大余县境聂都水，自河源至赣州市河长230 km。上犹江是章水最大支流，汇水面积4650km</w:t>
      </w:r>
      <w:r>
        <w:rPr>
          <w:vertAlign w:val="superscript"/>
        </w:rPr>
        <w:t>2</w:t>
      </w:r>
      <w:r>
        <w:t>，占章水面积59.8%，发源于湖南汝城县境，至湖头墟汇入章水，主河长178 km。</w:t>
      </w:r>
    </w:p>
    <w:p>
      <w:pPr>
        <w:pStyle w:val="14"/>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t>赣江</w:t>
      </w:r>
    </w:p>
    <w:p>
      <w:pPr>
        <w:pStyle w:val="14"/>
      </w:pPr>
      <w:r>
        <w:t>赣江东支贡江发源于赣闽界的武夷山黄竹岭，西支由池江和上犹江汇合成章江，贡江和章江在赣州市汇合成赣江，流经万安、泰和、吉安、峡江、樟树、丰城和南昌等地，最终汇入鄱阳湖。赣江丰水期流量1800m</w:t>
      </w:r>
      <w:r>
        <w:rPr>
          <w:vertAlign w:val="superscript"/>
        </w:rPr>
        <w:t>3</w:t>
      </w:r>
      <w:r>
        <w:t>/s，平水期流量1150m</w:t>
      </w:r>
      <w:r>
        <w:rPr>
          <w:vertAlign w:val="superscript"/>
        </w:rPr>
        <w:t>3</w:t>
      </w:r>
      <w:r>
        <w:t>/s，枯水期流量629m</w:t>
      </w:r>
      <w:r>
        <w:rPr>
          <w:vertAlign w:val="superscript"/>
        </w:rPr>
        <w:t>3</w:t>
      </w:r>
      <w:r>
        <w:t>/s，年平均流量1050m</w:t>
      </w:r>
      <w:r>
        <w:rPr>
          <w:vertAlign w:val="superscript"/>
        </w:rPr>
        <w:t>3</w:t>
      </w:r>
      <w:r>
        <w:t>/s，枯水期水深5.44m，枯水期水面宽471m，枯水期流速0.25m/</w:t>
      </w:r>
      <w:r>
        <w:rPr>
          <w:vertAlign w:val="superscript"/>
        </w:rPr>
        <w:t>s</w:t>
      </w:r>
      <w:r>
        <w:t>，河床的水力坡度为5.71/10000。</w:t>
      </w:r>
    </w:p>
    <w:p>
      <w:pPr>
        <w:pStyle w:val="14"/>
        <w:rPr>
          <w:rFonts w:hint="eastAsia"/>
          <w:lang w:eastAsia="zh-CN"/>
        </w:rPr>
      </w:pPr>
      <w:r>
        <w:t>本工程污水纳污河为赣江，赣江为全省最大河流，属于长江水</w:t>
      </w:r>
      <w:r>
        <w:rPr>
          <w:rFonts w:hint="eastAsia"/>
        </w:rPr>
        <w:t>水系</w:t>
      </w:r>
      <w:r>
        <w:t>。东源贡江出于武夷山，西源章江出于聂都山，相汇与城区北部八境台下，始称赣江</w:t>
      </w:r>
      <w:r>
        <w:rPr>
          <w:rFonts w:hint="eastAsia"/>
          <w:lang w:eastAsia="zh-CN"/>
        </w:rPr>
        <w:t>。</w:t>
      </w:r>
    </w:p>
    <w:p>
      <w:pPr>
        <w:pStyle w:val="21"/>
      </w:pPr>
      <w:r>
        <w:rPr>
          <w:rFonts w:hint="eastAsia"/>
          <w:lang w:val="en-US" w:eastAsia="zh-CN"/>
        </w:rPr>
        <w:t>2.1.4</w:t>
      </w:r>
      <w:r>
        <w:rPr>
          <w:rFonts w:hint="eastAsia"/>
        </w:rPr>
        <w:t>气候</w:t>
      </w:r>
      <w:bookmarkEnd w:id="170"/>
      <w:bookmarkEnd w:id="171"/>
      <w:bookmarkEnd w:id="172"/>
      <w:bookmarkEnd w:id="173"/>
      <w:bookmarkEnd w:id="174"/>
      <w:bookmarkEnd w:id="175"/>
    </w:p>
    <w:p>
      <w:pPr>
        <w:pStyle w:val="14"/>
        <w:rPr>
          <w:rFonts w:hint="eastAsia"/>
        </w:rPr>
      </w:pPr>
      <w:r>
        <w:rPr>
          <w:rFonts w:hint="eastAsia"/>
        </w:rPr>
        <w:t>本工程位于赣州经济技术开发区地缘与章贡区相接，气象气候等与章贡区基本一致，且章贡区历年气象统计包含开发区部分，因此本次环评采用章贡区气象数据。</w:t>
      </w:r>
    </w:p>
    <w:p>
      <w:pPr>
        <w:pStyle w:val="14"/>
        <w:rPr>
          <w:rFonts w:hint="eastAsia"/>
        </w:rPr>
      </w:pPr>
      <w:r>
        <w:rPr>
          <w:rFonts w:hint="eastAsia"/>
        </w:rPr>
        <w:t>章贡</w:t>
      </w:r>
      <w:r>
        <w:t>区属季风型大陆性气候。其特征是：四季变化分明，冬夏季风明显、气候温暖湿润、日照较为丰富</w:t>
      </w:r>
      <w:r>
        <w:rPr>
          <w:rFonts w:hint="eastAsia"/>
        </w:rPr>
        <w:t>。</w:t>
      </w:r>
    </w:p>
    <w:p>
      <w:pPr>
        <w:pStyle w:val="14"/>
        <w:rPr>
          <w:rFonts w:hint="eastAsia"/>
        </w:rPr>
      </w:pPr>
      <w:r>
        <w:rPr>
          <w:rFonts w:hint="eastAsia"/>
        </w:rPr>
        <w:t>1</w:t>
      </w:r>
      <w:r>
        <w:t xml:space="preserve">、气温 </w:t>
      </w:r>
    </w:p>
    <w:p>
      <w:pPr>
        <w:pStyle w:val="14"/>
        <w:rPr>
          <w:rFonts w:hint="eastAsia"/>
        </w:rPr>
      </w:pPr>
      <w:r>
        <w:t>年平均气温为19.4</w:t>
      </w:r>
      <w:r>
        <w:rPr>
          <w:rFonts w:hint="eastAsia"/>
        </w:rPr>
        <w:t>℃</w:t>
      </w:r>
      <w:r>
        <w:t>，夏季（七月）最高，平均气温为29.4</w:t>
      </w:r>
      <w:r>
        <w:rPr>
          <w:rFonts w:hint="eastAsia"/>
        </w:rPr>
        <w:t>℃</w:t>
      </w:r>
      <w:r>
        <w:t>，冬季（1月）最低平均气温为7.9</w:t>
      </w:r>
      <w:r>
        <w:rPr>
          <w:rFonts w:hint="eastAsia"/>
        </w:rPr>
        <w:t>℃</w:t>
      </w:r>
      <w:r>
        <w:t>。极端最高气温为41.2</w:t>
      </w:r>
      <w:r>
        <w:rPr>
          <w:rFonts w:hint="eastAsia"/>
        </w:rPr>
        <w:t>℃</w:t>
      </w:r>
      <w:r>
        <w:t>；极端最低气温为-6.0</w:t>
      </w:r>
      <w:r>
        <w:rPr>
          <w:rFonts w:hint="eastAsia"/>
        </w:rPr>
        <w:t>℃</w:t>
      </w:r>
      <w:r>
        <w:t>。本区气候一大特点是：夏季时间偏长、气温较高。每年日最高气温达到和超过35</w:t>
      </w:r>
      <w:r>
        <w:rPr>
          <w:rFonts w:hint="eastAsia"/>
        </w:rPr>
        <w:t>℃</w:t>
      </w:r>
      <w:r>
        <w:t>的炎热天气较多。</w:t>
      </w:r>
    </w:p>
    <w:p>
      <w:pPr>
        <w:pStyle w:val="14"/>
        <w:rPr>
          <w:rFonts w:hint="eastAsia"/>
        </w:rPr>
      </w:pPr>
      <w:r>
        <w:t>本区冬季短，且无严寒天气，最低温度低于0</w:t>
      </w:r>
      <w:r>
        <w:rPr>
          <w:rFonts w:hint="eastAsia"/>
        </w:rPr>
        <w:t>℃</w:t>
      </w:r>
      <w:r>
        <w:t xml:space="preserve">的气温很少出现。 </w:t>
      </w:r>
    </w:p>
    <w:p>
      <w:pPr>
        <w:pStyle w:val="14"/>
        <w:rPr>
          <w:rFonts w:hint="eastAsia"/>
        </w:rPr>
      </w:pPr>
      <w:r>
        <w:rPr>
          <w:rFonts w:hint="eastAsia"/>
        </w:rPr>
        <w:t>2</w:t>
      </w:r>
      <w:r>
        <w:t xml:space="preserve">、日照 </w:t>
      </w:r>
    </w:p>
    <w:p>
      <w:pPr>
        <w:pStyle w:val="14"/>
        <w:rPr>
          <w:rFonts w:hint="eastAsia"/>
        </w:rPr>
      </w:pPr>
      <w:r>
        <w:t xml:space="preserve">年平均太阳辐射总量为 111.0855 千卡/平方厘米，最高出现在七月，占全年幅射量的13.6%；最低值出现在二月，占全年总量的5.2%。多年平均日照数1905.1小时，最高值和最低值也都在七月份和二月份。 </w:t>
      </w:r>
    </w:p>
    <w:p>
      <w:pPr>
        <w:pStyle w:val="14"/>
        <w:rPr>
          <w:rFonts w:hint="eastAsia"/>
        </w:rPr>
      </w:pPr>
      <w:r>
        <w:rPr>
          <w:rFonts w:hint="eastAsia"/>
        </w:rPr>
        <w:t>3</w:t>
      </w:r>
      <w:r>
        <w:t xml:space="preserve">、降水与蒸发 </w:t>
      </w:r>
    </w:p>
    <w:p>
      <w:pPr>
        <w:pStyle w:val="14"/>
        <w:rPr>
          <w:rFonts w:hint="eastAsia"/>
        </w:rPr>
      </w:pPr>
      <w:r>
        <w:t xml:space="preserve">历年平均降水量为 1465.2 毫米，平均年蒸发量 1618.2 毫米，蒸发大于降水，属大陆性气候。每年 3～6 月份雨量最多，占全年总降水量的 56%；7～8 月占全年总降水量的 15%；其余 6 个月是降雨较少的六个月，只占全年降水量的 29%。每年 2～6 月份，蒸发量小于降雨量，其余七个月均大于降水量。 </w:t>
      </w:r>
    </w:p>
    <w:p>
      <w:pPr>
        <w:pStyle w:val="14"/>
        <w:rPr>
          <w:rFonts w:hint="eastAsia"/>
        </w:rPr>
      </w:pPr>
      <w:r>
        <w:rPr>
          <w:rFonts w:hint="eastAsia"/>
        </w:rPr>
        <w:t>4</w:t>
      </w:r>
      <w:r>
        <w:t xml:space="preserve">、风向与风速 </w:t>
      </w:r>
    </w:p>
    <w:p>
      <w:pPr>
        <w:pStyle w:val="14"/>
        <w:rPr>
          <w:rFonts w:hint="eastAsia"/>
        </w:rPr>
      </w:pPr>
      <w:r>
        <w:t>全年主导风向为N风，其出现频率为12.81％；次主导风向为ENE和NNW风，其出现频率分别为11.58％和11.23％；W风出现频率最小，为1.99％；全年静风出现频率为5.88％。春季主导风向为NNW风，其出现频率为10.33％；夏季主导风向为ENE风，其出现频率为14.96％；秋季主导风向为N风，其出现频率为19.26％</w:t>
      </w:r>
      <w:r>
        <w:rPr>
          <w:rFonts w:hint="eastAsia"/>
        </w:rPr>
        <w:t>；</w:t>
      </w:r>
      <w:r>
        <w:t>冬季主导风向为N和NNW风，出现频率均为15.28％</w:t>
      </w:r>
      <w:r>
        <w:rPr>
          <w:rFonts w:hint="eastAsia"/>
        </w:rPr>
        <w:t>。年平均风速1.56m/s，月平均风速在1.41～2.14m/s之间变动，夏季风速稍大，春秋冬季风速稍小，总体看来全年风速起伏不大。</w:t>
      </w:r>
    </w:p>
    <w:p>
      <w:pPr>
        <w:pStyle w:val="21"/>
        <w:rPr>
          <w:rFonts w:hint="eastAsia" w:eastAsia="宋体"/>
          <w:lang w:val="en-US" w:eastAsia="zh-CN"/>
        </w:rPr>
      </w:pPr>
      <w:bookmarkStart w:id="176" w:name="_Toc454029249"/>
      <w:bookmarkStart w:id="177" w:name="_Toc466497314"/>
      <w:bookmarkStart w:id="178" w:name="_Toc13645"/>
      <w:bookmarkStart w:id="179" w:name="_Toc31164_WPSOffice_Level2"/>
      <w:bookmarkStart w:id="180" w:name="_Toc6819_WPSOffice_Level2"/>
      <w:bookmarkStart w:id="181" w:name="_Toc17831"/>
      <w:r>
        <w:t>2.1.</w:t>
      </w:r>
      <w:bookmarkEnd w:id="176"/>
      <w:bookmarkEnd w:id="177"/>
      <w:bookmarkEnd w:id="178"/>
      <w:bookmarkEnd w:id="179"/>
      <w:bookmarkEnd w:id="180"/>
      <w:bookmarkEnd w:id="181"/>
      <w:r>
        <w:rPr>
          <w:rFonts w:hint="eastAsia"/>
          <w:lang w:val="en-US" w:eastAsia="zh-CN"/>
        </w:rPr>
        <w:t>5生态环境现状</w:t>
      </w:r>
    </w:p>
    <w:p>
      <w:pPr>
        <w:pStyle w:val="14"/>
      </w:pPr>
      <w:bookmarkStart w:id="182" w:name="_Toc32546"/>
      <w:bookmarkStart w:id="183" w:name="_Toc31842"/>
      <w:bookmarkStart w:id="184" w:name="_Toc3951"/>
      <w:r>
        <w:t>（1）水生生物</w:t>
      </w:r>
    </w:p>
    <w:p>
      <w:pPr>
        <w:pStyle w:val="14"/>
      </w:pPr>
      <w:r>
        <w:t>据调查文献资料记载，赣江及其水系共有鱼类数十种，其中主要种类有草鱼、青鱼、鳙鱼、鲢鱼、红鲤鱼、鮊子、黄鳅、鲇鱼、鳗鱼、魦、黄鲶、螃蟹、蚌壳、虾等。水生昆虫幼虫和螺、蚬等软体动物，浮游动物有技角类、挠足类以及各种轮虫和众多原生动物。在项目评价范围内赣江水域无珍稀、濒危水生生物。</w:t>
      </w:r>
    </w:p>
    <w:p>
      <w:pPr>
        <w:pStyle w:val="14"/>
      </w:pPr>
      <w:r>
        <w:t>（2）陆生生物</w:t>
      </w:r>
    </w:p>
    <w:p>
      <w:pPr>
        <w:pStyle w:val="14"/>
      </w:pPr>
      <w:r>
        <w:t>两栖类：以农作区与丘陵岗地分布的两栖类为主，常见种类有中华蟾蜍、黑斑蛙、泽蛙、沼蛙等常见蛙类为主。</w:t>
      </w:r>
    </w:p>
    <w:p>
      <w:pPr>
        <w:pStyle w:val="14"/>
      </w:pPr>
      <w:r>
        <w:t>其中主要种类生态习性及其分布状况：</w:t>
      </w:r>
    </w:p>
    <w:p>
      <w:pPr>
        <w:pStyle w:val="14"/>
      </w:pPr>
      <w:r>
        <w:t>中华蟾蜍，俗称“癞蛤蟆”，栖于近水源或潮湿的灌草丛、河谷、村舍附近。评价范围内广布，也是种群数量最大的种类。</w:t>
      </w:r>
    </w:p>
    <w:p>
      <w:pPr>
        <w:pStyle w:val="14"/>
      </w:pPr>
      <w:r>
        <w:t>黑斑蛙，又名“田鸡”或“青蛙”，常栖息于水田、河沟或近水草丛间。江西境内广泛分布。</w:t>
      </w:r>
    </w:p>
    <w:p>
      <w:pPr>
        <w:pStyle w:val="14"/>
      </w:pPr>
      <w:r>
        <w:t>泽蛙、沼蛙，常栖息于农田及附近的田野中，评价区常见。</w:t>
      </w:r>
    </w:p>
    <w:p>
      <w:pPr>
        <w:pStyle w:val="14"/>
      </w:pPr>
      <w:r>
        <w:t>爬行类：评价范围内分布的爬行动物主要有金环蛇、银环蛇、水蛇、地龙、蜥、蝎、青蛙、树蛙等。但由于城镇乡村道路等基础设施建设导致其生境改变，野生爬行动物种群在逐渐下降。</w:t>
      </w:r>
    </w:p>
    <w:p>
      <w:pPr>
        <w:pStyle w:val="14"/>
      </w:pPr>
      <w:r>
        <w:t>鸟类：评价范围内常见鸟类有雉、啄木鸟、杜鹃、八哥、喜鹊、乌鸦、家燕、麻雀、布谷、禾花雀等</w:t>
      </w:r>
    </w:p>
    <w:p>
      <w:pPr>
        <w:pStyle w:val="14"/>
      </w:pPr>
      <w:r>
        <w:t>评价区没有鸟类种群的集中分布区域，规划的实施不会直接影响评价区域的鸟类种群数量。</w:t>
      </w:r>
    </w:p>
    <w:p>
      <w:pPr>
        <w:pStyle w:val="14"/>
      </w:pPr>
      <w:r>
        <w:t>啮齿类动物是该区域种类与数量最多的兽类，又是村落伴生动物，其中部分种类有家野两栖的习性。如褐家鼠在冬天野外食物短缺时，从室外进入室内生活，而到来年春天野外气温回升、食物渐丰时又从室内转到野外。部分种类危害当地农、林业，会盗食稻谷、花生、红薯等农作物。</w:t>
      </w:r>
    </w:p>
    <w:p>
      <w:pPr>
        <w:pStyle w:val="14"/>
      </w:pPr>
      <w:r>
        <w:t>昆虫类：主要有蜻蜓、蝴蝶、螟虫、瓢虫、稻飞虱、蚂蚁、萤火虫、蝈蝈等。</w:t>
      </w:r>
    </w:p>
    <w:p>
      <w:pPr>
        <w:pStyle w:val="14"/>
      </w:pPr>
      <w:r>
        <w:t>（3）植被</w:t>
      </w:r>
    </w:p>
    <w:p>
      <w:pPr>
        <w:pStyle w:val="14"/>
      </w:pPr>
      <w:r>
        <w:t>章贡区位于亚热带季风性气候区，地带性植被为亚热带常绿阔叶、针叶林，主要种类有：壳斗科的红栲、青冈栋、甜槠等，樟科的红楠、紫楠、香樟、黄樟等，山茶科的厚皮香、木荷等，蔷薇科的光叶石楠等。</w:t>
      </w:r>
    </w:p>
    <w:p>
      <w:pPr>
        <w:pStyle w:val="14"/>
      </w:pPr>
      <w:r>
        <w:t>低山高丘陵区植被种类主要有马尾松，土质较好的阴坡面有稀疏的杉木、毛竹或杂木与马尾松混交生长。林下植物常见有野桔草、鹧鸪草、铁芒箕、硬骨草、映山红、乌饭子或杞木、赤楠、桃金娘等。</w:t>
      </w:r>
    </w:p>
    <w:p>
      <w:pPr>
        <w:pStyle w:val="14"/>
      </w:pPr>
      <w:r>
        <w:t>丘陵区植被多有马尾松、木荷、泡桐、乌桕、山苍子等乔木，杂生于杞木、黄荆、胡枝子、白檀、野南瓜、大叶青、六月雪等灌丛和白茅、巴茅、铁芒箕、蕨类、西风草、臭根子草等草类中，混生组成自然植被。</w:t>
      </w:r>
    </w:p>
    <w:p>
      <w:pPr>
        <w:pStyle w:val="14"/>
      </w:pPr>
      <w:r>
        <w:t>人工植被主要有油茶林，其次为杉木和马尾松。河流两岸主要有大叶柳、香樟、桉树、泡桐、乌桕、黄竹、枫杨等，果树种类繁多，主要有柑橘、柿、梨、桃、李、枇杷等。</w:t>
      </w:r>
    </w:p>
    <w:p>
      <w:pPr>
        <w:pStyle w:val="14"/>
      </w:pPr>
      <w:r>
        <w:t>（4）农业生态</w:t>
      </w:r>
    </w:p>
    <w:p>
      <w:pPr>
        <w:pStyle w:val="14"/>
      </w:pPr>
      <w:r>
        <w:t>在项目评价范围内为城区与郊区的接合地带，农田以水稻田为主，兼有蔬菜种植的旱地，以农业生态系统的形式存在，农作物主要有水稻、红薯、油菜、芝麻、棉花、大豆等多种农作物。</w:t>
      </w:r>
    </w:p>
    <w:p>
      <w:pPr>
        <w:pStyle w:val="20"/>
        <w:rPr>
          <w:rFonts w:hint="default"/>
        </w:rPr>
      </w:pPr>
      <w:bookmarkStart w:id="185" w:name="_Toc21859_WPSOffice_Level1"/>
      <w:r>
        <w:rPr>
          <w:rFonts w:hint="eastAsia"/>
          <w:lang w:val="en-US" w:eastAsia="zh-CN"/>
        </w:rPr>
        <w:t>2.3</w:t>
      </w:r>
      <w:r>
        <w:rPr>
          <w:rFonts w:hint="default"/>
        </w:rPr>
        <w:t>周边环境风险受体情况</w:t>
      </w:r>
      <w:bookmarkEnd w:id="182"/>
      <w:bookmarkEnd w:id="183"/>
      <w:bookmarkEnd w:id="184"/>
      <w:bookmarkEnd w:id="185"/>
    </w:p>
    <w:p>
      <w:pPr>
        <w:pStyle w:val="14"/>
        <w:rPr>
          <w:rFonts w:hint="eastAsia"/>
          <w:lang w:val="en-US" w:eastAsia="zh-CN"/>
        </w:rPr>
      </w:pPr>
      <w:bookmarkStart w:id="186" w:name="_Toc10922"/>
      <w:bookmarkStart w:id="187" w:name="_Toc393794997"/>
      <w:bookmarkStart w:id="188" w:name="_Toc9082"/>
      <w:bookmarkStart w:id="189" w:name="_Toc5896"/>
      <w:r>
        <w:rPr>
          <w:rFonts w:hint="eastAsia"/>
          <w:lang w:eastAsia="zh-CN"/>
        </w:rPr>
        <w:t>赣州经济技术开发区污水处理厂</w:t>
      </w:r>
      <w:r>
        <w:rPr>
          <w:rFonts w:hint="default"/>
        </w:rPr>
        <w:t>位于</w:t>
      </w:r>
      <w:r>
        <w:rPr>
          <w:rFonts w:hint="eastAsia"/>
          <w:lang w:eastAsia="zh-CN"/>
        </w:rPr>
        <w:t>赣州经济技术开发区岗边村上坝</w:t>
      </w:r>
      <w:r>
        <w:rPr>
          <w:rFonts w:hint="default"/>
        </w:rPr>
        <w:t>，区域现为城市环境，周围居民生活用水均为自来水。</w:t>
      </w:r>
      <w:r>
        <w:rPr>
          <w:rFonts w:hint="eastAsia"/>
          <w:lang w:eastAsia="zh-CN"/>
        </w:rPr>
        <w:t>项目尾水经</w:t>
      </w:r>
      <w:r>
        <w:rPr>
          <w:rFonts w:hint="eastAsia"/>
        </w:rPr>
        <w:t>尾水经</w:t>
      </w:r>
      <w:r>
        <w:rPr>
          <w:rFonts w:hint="eastAsia"/>
          <w:lang w:val="en-US" w:eastAsia="zh-CN"/>
        </w:rPr>
        <w:t>6.5</w:t>
      </w:r>
      <w:r>
        <w:rPr>
          <w:rFonts w:hint="eastAsia"/>
        </w:rPr>
        <w:t>km长的专管排入</w:t>
      </w:r>
      <w:r>
        <w:rPr>
          <w:rFonts w:hint="eastAsia"/>
          <w:lang w:eastAsia="zh-CN"/>
        </w:rPr>
        <w:t>赣江，经有关部门证实，项目排口下游最近</w:t>
      </w:r>
      <w:r>
        <w:rPr>
          <w:rFonts w:hint="eastAsia"/>
          <w:lang w:val="en-US" w:eastAsia="zh-CN"/>
        </w:rPr>
        <w:t>饮用水源取水口为万安县引用水源取水口，距离70km。</w:t>
      </w:r>
    </w:p>
    <w:p>
      <w:pPr>
        <w:pStyle w:val="14"/>
        <w:rPr>
          <w:rFonts w:hint="default"/>
          <w:lang w:eastAsia="zh-CN"/>
        </w:rPr>
      </w:pPr>
      <w:r>
        <w:rPr>
          <w:rFonts w:hint="eastAsia"/>
          <w:lang w:eastAsia="zh-CN"/>
        </w:rPr>
        <w:t>赣州经济技术开发区污水处理厂</w:t>
      </w:r>
      <w:r>
        <w:rPr>
          <w:rFonts w:hint="default"/>
        </w:rPr>
        <w:t>的纳污水体为</w:t>
      </w:r>
      <w:r>
        <w:rPr>
          <w:rFonts w:hint="eastAsia"/>
          <w:lang w:val="en-US" w:eastAsia="zh-CN"/>
        </w:rPr>
        <w:t>赣江</w:t>
      </w:r>
      <w:r>
        <w:rPr>
          <w:rFonts w:hint="default"/>
        </w:rPr>
        <w:t>，规模属于</w:t>
      </w:r>
      <w:r>
        <w:rPr>
          <w:rFonts w:hint="eastAsia"/>
          <w:lang w:eastAsia="zh-CN"/>
        </w:rPr>
        <w:t>大河</w:t>
      </w:r>
      <w:r>
        <w:rPr>
          <w:rFonts w:hint="default"/>
        </w:rPr>
        <w:t>，水质类别为Ⅲ类，执行《地表水环境质量标准》GB3838-2002中Ⅲ类水体标准</w:t>
      </w:r>
      <w:r>
        <w:rPr>
          <w:rFonts w:hint="default"/>
          <w:lang w:eastAsia="zh-CN"/>
        </w:rPr>
        <w:t>。</w:t>
      </w:r>
    </w:p>
    <w:p>
      <w:pPr>
        <w:pStyle w:val="14"/>
        <w:rPr>
          <w:rFonts w:hint="default" w:ascii="Times New Roman" w:hAnsi="Times New Roman" w:cs="Times New Roman"/>
          <w:color w:val="auto"/>
          <w:highlight w:val="none"/>
          <w:u w:val="none"/>
        </w:rPr>
      </w:pPr>
      <w:r>
        <w:rPr>
          <w:rFonts w:hint="default"/>
        </w:rPr>
        <w:t>企业周边环境风险受体见下表。</w:t>
      </w:r>
    </w:p>
    <w:p>
      <w:pPr>
        <w:pStyle w:val="16"/>
        <w:rPr>
          <w:rFonts w:hint="default"/>
        </w:rPr>
      </w:pPr>
      <w:r>
        <w:rPr>
          <w:rFonts w:hint="default"/>
        </w:rPr>
        <w:t>表</w:t>
      </w:r>
      <w:r>
        <w:rPr>
          <w:rFonts w:hint="eastAsia"/>
          <w:lang w:val="en-US" w:eastAsia="zh-CN"/>
        </w:rPr>
        <w:t>2.3-1</w:t>
      </w:r>
      <w:r>
        <w:rPr>
          <w:rFonts w:hint="default"/>
        </w:rPr>
        <w:t xml:space="preserve">  环境风险受体</w:t>
      </w:r>
      <w:r>
        <w:rPr>
          <w:rFonts w:hint="default"/>
          <w:lang w:eastAsia="zh-CN"/>
        </w:rPr>
        <w:t>一览表</w:t>
      </w:r>
    </w:p>
    <w:bookmarkEnd w:id="186"/>
    <w:bookmarkEnd w:id="187"/>
    <w:bookmarkEnd w:id="188"/>
    <w:bookmarkEnd w:id="189"/>
    <w:tbl>
      <w:tblPr>
        <w:tblStyle w:val="10"/>
        <w:tblW w:w="853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514"/>
        <w:gridCol w:w="722"/>
        <w:gridCol w:w="1179"/>
        <w:gridCol w:w="1746"/>
        <w:gridCol w:w="1004"/>
        <w:gridCol w:w="128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tcBorders>
              <w:tl2br w:val="nil"/>
              <w:tr2bl w:val="nil"/>
            </w:tcBorders>
            <w:vAlign w:val="center"/>
          </w:tcPr>
          <w:p>
            <w:pPr>
              <w:pStyle w:val="18"/>
              <w:rPr>
                <w:rFonts w:hint="default"/>
              </w:rPr>
            </w:pPr>
            <w:r>
              <w:rPr>
                <w:rFonts w:hint="default"/>
              </w:rPr>
              <w:t>环境要素</w:t>
            </w:r>
          </w:p>
        </w:tc>
        <w:tc>
          <w:tcPr>
            <w:tcW w:w="1514" w:type="dxa"/>
            <w:tcBorders>
              <w:tl2br w:val="nil"/>
              <w:tr2bl w:val="nil"/>
            </w:tcBorders>
            <w:vAlign w:val="center"/>
          </w:tcPr>
          <w:p>
            <w:pPr>
              <w:pStyle w:val="18"/>
              <w:rPr>
                <w:rFonts w:hint="default"/>
              </w:rPr>
            </w:pPr>
            <w:r>
              <w:rPr>
                <w:rFonts w:hint="default"/>
              </w:rPr>
              <w:t>名单</w:t>
            </w:r>
          </w:p>
        </w:tc>
        <w:tc>
          <w:tcPr>
            <w:tcW w:w="722" w:type="dxa"/>
            <w:tcBorders>
              <w:tl2br w:val="nil"/>
              <w:tr2bl w:val="nil"/>
            </w:tcBorders>
            <w:vAlign w:val="center"/>
          </w:tcPr>
          <w:p>
            <w:pPr>
              <w:pStyle w:val="18"/>
              <w:rPr>
                <w:rFonts w:hint="default"/>
              </w:rPr>
            </w:pPr>
            <w:r>
              <w:rPr>
                <w:rFonts w:hint="default"/>
              </w:rPr>
              <w:t>方位</w:t>
            </w:r>
          </w:p>
        </w:tc>
        <w:tc>
          <w:tcPr>
            <w:tcW w:w="1179" w:type="dxa"/>
            <w:tcBorders>
              <w:tl2br w:val="nil"/>
              <w:tr2bl w:val="nil"/>
            </w:tcBorders>
            <w:vAlign w:val="center"/>
          </w:tcPr>
          <w:p>
            <w:pPr>
              <w:pStyle w:val="18"/>
              <w:rPr>
                <w:rFonts w:hint="eastAsia" w:eastAsia="宋体"/>
                <w:lang w:eastAsia="zh-CN"/>
              </w:rPr>
            </w:pPr>
            <w:r>
              <w:rPr>
                <w:rFonts w:hint="default"/>
              </w:rPr>
              <w:t>与厂界距离</w:t>
            </w:r>
          </w:p>
        </w:tc>
        <w:tc>
          <w:tcPr>
            <w:tcW w:w="1746" w:type="dxa"/>
            <w:tcBorders>
              <w:tl2br w:val="nil"/>
              <w:tr2bl w:val="nil"/>
            </w:tcBorders>
            <w:vAlign w:val="center"/>
          </w:tcPr>
          <w:p>
            <w:pPr>
              <w:pStyle w:val="18"/>
              <w:rPr>
                <w:rFonts w:hint="eastAsia"/>
                <w:lang w:eastAsia="zh-CN"/>
              </w:rPr>
            </w:pPr>
            <w:r>
              <w:rPr>
                <w:rFonts w:hint="eastAsia"/>
                <w:lang w:eastAsia="zh-CN"/>
              </w:rPr>
              <w:t>与无组织排放源最近距离</w:t>
            </w:r>
          </w:p>
        </w:tc>
        <w:tc>
          <w:tcPr>
            <w:tcW w:w="1004" w:type="dxa"/>
            <w:tcBorders>
              <w:tl2br w:val="nil"/>
              <w:tr2bl w:val="nil"/>
            </w:tcBorders>
            <w:vAlign w:val="center"/>
          </w:tcPr>
          <w:p>
            <w:pPr>
              <w:pStyle w:val="18"/>
              <w:rPr>
                <w:rFonts w:hint="eastAsia" w:eastAsia="宋体"/>
                <w:lang w:eastAsia="zh-CN"/>
              </w:rPr>
            </w:pPr>
            <w:r>
              <w:rPr>
                <w:rFonts w:hint="eastAsia"/>
                <w:lang w:eastAsia="zh-CN"/>
              </w:rPr>
              <w:t>规模</w:t>
            </w:r>
          </w:p>
        </w:tc>
        <w:tc>
          <w:tcPr>
            <w:tcW w:w="1284" w:type="dxa"/>
            <w:tcBorders>
              <w:tl2br w:val="nil"/>
              <w:tr2bl w:val="nil"/>
            </w:tcBorders>
            <w:vAlign w:val="center"/>
          </w:tcPr>
          <w:p>
            <w:pPr>
              <w:pStyle w:val="18"/>
              <w:rPr>
                <w:rFonts w:hint="default"/>
              </w:rPr>
            </w:pPr>
            <w:r>
              <w:rPr>
                <w:rFonts w:hint="default"/>
              </w:rPr>
              <w:t>环境功能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restart"/>
            <w:tcBorders>
              <w:tl2br w:val="nil"/>
              <w:tr2bl w:val="nil"/>
            </w:tcBorders>
            <w:vAlign w:val="center"/>
          </w:tcPr>
          <w:p>
            <w:pPr>
              <w:pStyle w:val="18"/>
              <w:rPr>
                <w:rFonts w:hint="eastAsia" w:eastAsia="宋体"/>
                <w:lang w:eastAsia="zh-CN"/>
              </w:rPr>
            </w:pPr>
            <w:r>
              <w:rPr>
                <w:rFonts w:hint="eastAsia"/>
                <w:lang w:eastAsia="zh-CN"/>
              </w:rPr>
              <w:t>大气环境风险受体</w:t>
            </w:r>
          </w:p>
        </w:tc>
        <w:tc>
          <w:tcPr>
            <w:tcW w:w="1514" w:type="dxa"/>
            <w:tcBorders>
              <w:tl2br w:val="nil"/>
              <w:tr2bl w:val="nil"/>
            </w:tcBorders>
            <w:vAlign w:val="center"/>
          </w:tcPr>
          <w:p>
            <w:pPr>
              <w:pStyle w:val="18"/>
              <w:rPr>
                <w:rFonts w:hint="eastAsia"/>
                <w:lang w:eastAsia="zh-CN"/>
              </w:rPr>
            </w:pPr>
            <w:r>
              <w:rPr>
                <w:rFonts w:hint="eastAsia"/>
              </w:rPr>
              <w:t>上坝居民</w:t>
            </w:r>
          </w:p>
        </w:tc>
        <w:tc>
          <w:tcPr>
            <w:tcW w:w="722" w:type="dxa"/>
            <w:tcBorders>
              <w:tl2br w:val="nil"/>
              <w:tr2bl w:val="nil"/>
            </w:tcBorders>
            <w:vAlign w:val="center"/>
          </w:tcPr>
          <w:p>
            <w:pPr>
              <w:pStyle w:val="18"/>
              <w:rPr>
                <w:rFonts w:hint="eastAsia"/>
                <w:lang w:val="en-US" w:eastAsia="zh-CN"/>
              </w:rPr>
            </w:pPr>
            <w:r>
              <w:rPr>
                <w:rFonts w:hint="eastAsia"/>
              </w:rPr>
              <w:t>东</w:t>
            </w:r>
          </w:p>
        </w:tc>
        <w:tc>
          <w:tcPr>
            <w:tcW w:w="1179" w:type="dxa"/>
            <w:tcBorders>
              <w:tl2br w:val="nil"/>
              <w:tr2bl w:val="nil"/>
            </w:tcBorders>
            <w:vAlign w:val="center"/>
          </w:tcPr>
          <w:p>
            <w:pPr>
              <w:pStyle w:val="18"/>
              <w:rPr>
                <w:rFonts w:hint="eastAsia"/>
                <w:lang w:val="en-US" w:eastAsia="zh-CN"/>
              </w:rPr>
            </w:pPr>
            <w:r>
              <w:rPr>
                <w:rFonts w:hint="eastAsia"/>
              </w:rPr>
              <w:t>7</w:t>
            </w:r>
          </w:p>
        </w:tc>
        <w:tc>
          <w:tcPr>
            <w:tcW w:w="1746" w:type="dxa"/>
            <w:tcBorders>
              <w:tl2br w:val="nil"/>
              <w:tr2bl w:val="nil"/>
            </w:tcBorders>
            <w:vAlign w:val="center"/>
          </w:tcPr>
          <w:p>
            <w:pPr>
              <w:pStyle w:val="18"/>
              <w:rPr>
                <w:rFonts w:hint="eastAsia" w:eastAsia="宋体"/>
                <w:lang w:val="en-US" w:eastAsia="zh-CN"/>
              </w:rPr>
            </w:pPr>
            <w:r>
              <w:rPr>
                <w:rFonts w:hint="eastAsia"/>
                <w:lang w:val="en-US" w:eastAsia="zh-CN"/>
              </w:rPr>
              <w:t>107.95m</w:t>
            </w:r>
          </w:p>
        </w:tc>
        <w:tc>
          <w:tcPr>
            <w:tcW w:w="1004" w:type="dxa"/>
            <w:tcBorders>
              <w:tl2br w:val="nil"/>
              <w:tr2bl w:val="nil"/>
            </w:tcBorders>
            <w:vAlign w:val="center"/>
          </w:tcPr>
          <w:p>
            <w:pPr>
              <w:pStyle w:val="18"/>
              <w:rPr>
                <w:rFonts w:hint="eastAsia"/>
                <w:lang w:val="en-US" w:eastAsia="zh-CN"/>
              </w:rPr>
            </w:pPr>
            <w:r>
              <w:rPr>
                <w:rFonts w:hint="eastAsia"/>
              </w:rPr>
              <w:t>24人</w:t>
            </w:r>
          </w:p>
        </w:tc>
        <w:tc>
          <w:tcPr>
            <w:tcW w:w="1284" w:type="dxa"/>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eastAsia="宋体"/>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岗边村</w:t>
            </w:r>
          </w:p>
        </w:tc>
        <w:tc>
          <w:tcPr>
            <w:tcW w:w="722" w:type="dxa"/>
            <w:tcBorders>
              <w:tl2br w:val="nil"/>
              <w:tr2bl w:val="nil"/>
            </w:tcBorders>
            <w:vAlign w:val="center"/>
          </w:tcPr>
          <w:p>
            <w:pPr>
              <w:pStyle w:val="18"/>
              <w:rPr>
                <w:rFonts w:hint="eastAsia"/>
                <w:lang w:val="en-US" w:eastAsia="zh-CN"/>
              </w:rPr>
            </w:pPr>
            <w:r>
              <w:rPr>
                <w:rFonts w:hint="eastAsia"/>
                <w:lang w:val="en-US" w:eastAsia="zh-CN"/>
              </w:rPr>
              <w:t>西南</w:t>
            </w:r>
          </w:p>
        </w:tc>
        <w:tc>
          <w:tcPr>
            <w:tcW w:w="1179" w:type="dxa"/>
            <w:tcBorders>
              <w:tl2br w:val="nil"/>
              <w:tr2bl w:val="nil"/>
            </w:tcBorders>
            <w:vAlign w:val="center"/>
          </w:tcPr>
          <w:p>
            <w:pPr>
              <w:pStyle w:val="18"/>
              <w:rPr>
                <w:rFonts w:hint="eastAsia"/>
                <w:lang w:val="en-US" w:eastAsia="zh-CN"/>
              </w:rPr>
            </w:pPr>
            <w:r>
              <w:rPr>
                <w:rFonts w:hint="eastAsia"/>
                <w:lang w:val="en-US" w:eastAsia="zh-CN"/>
              </w:rPr>
              <w:t>577m</w:t>
            </w:r>
          </w:p>
        </w:tc>
        <w:tc>
          <w:tcPr>
            <w:tcW w:w="1746" w:type="dxa"/>
            <w:tcBorders>
              <w:tl2br w:val="nil"/>
              <w:tr2bl w:val="nil"/>
            </w:tcBorders>
            <w:vAlign w:val="center"/>
          </w:tcPr>
          <w:p>
            <w:pPr>
              <w:pStyle w:val="18"/>
              <w:rPr>
                <w:rFonts w:hint="eastAsia"/>
                <w:lang w:val="en-US" w:eastAsia="zh-CN"/>
              </w:rPr>
            </w:pPr>
            <w:r>
              <w:rPr>
                <w:rFonts w:hint="eastAsia"/>
                <w:lang w:val="en-US" w:eastAsia="zh-CN"/>
              </w:rPr>
              <w:t>235m</w:t>
            </w:r>
          </w:p>
        </w:tc>
        <w:tc>
          <w:tcPr>
            <w:tcW w:w="1004" w:type="dxa"/>
            <w:tcBorders>
              <w:tl2br w:val="nil"/>
              <w:tr2bl w:val="nil"/>
            </w:tcBorders>
            <w:vAlign w:val="center"/>
          </w:tcPr>
          <w:p>
            <w:pPr>
              <w:pStyle w:val="18"/>
              <w:rPr>
                <w:rFonts w:hint="eastAsia" w:eastAsia="宋体"/>
                <w:lang w:val="en-US" w:eastAsia="zh-CN"/>
              </w:rPr>
            </w:pPr>
            <w:r>
              <w:rPr>
                <w:rFonts w:hint="eastAsia"/>
                <w:lang w:val="en-US" w:eastAsia="zh-CN"/>
              </w:rPr>
              <w:t>4000人</w:t>
            </w:r>
          </w:p>
        </w:tc>
        <w:tc>
          <w:tcPr>
            <w:tcW w:w="1284" w:type="dxa"/>
            <w:vMerge w:val="restart"/>
            <w:tcBorders>
              <w:tl2br w:val="nil"/>
              <w:tr2bl w:val="nil"/>
            </w:tcBorders>
            <w:vAlign w:val="center"/>
          </w:tcPr>
          <w:p>
            <w:pPr>
              <w:pStyle w:val="18"/>
              <w:rPr>
                <w:rFonts w:hint="default"/>
              </w:rPr>
            </w:pPr>
            <w:r>
              <w:rPr>
                <w:rFonts w:hint="default" w:ascii="Times New Roman" w:hAnsi="Times New Roman" w:eastAsia="宋体" w:cs="Times New Roman"/>
                <w:snapToGrid/>
                <w:color w:val="auto"/>
                <w:spacing w:val="4"/>
                <w:w w:val="100"/>
                <w:sz w:val="21"/>
                <w:szCs w:val="21"/>
                <w:highlight w:val="none"/>
              </w:rPr>
              <w:t>（GB3095-1996）及2000年修改单中的二级标准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阳光西域华城</w:t>
            </w:r>
          </w:p>
        </w:tc>
        <w:tc>
          <w:tcPr>
            <w:tcW w:w="722" w:type="dxa"/>
            <w:tcBorders>
              <w:tl2br w:val="nil"/>
              <w:tr2bl w:val="nil"/>
            </w:tcBorders>
            <w:vAlign w:val="center"/>
          </w:tcPr>
          <w:p>
            <w:pPr>
              <w:pStyle w:val="18"/>
              <w:rPr>
                <w:rFonts w:hint="eastAsia"/>
                <w:lang w:val="en-US" w:eastAsia="zh-CN"/>
              </w:rPr>
            </w:pPr>
            <w:r>
              <w:rPr>
                <w:rFonts w:hint="eastAsia"/>
                <w:lang w:val="en-US" w:eastAsia="zh-CN"/>
              </w:rPr>
              <w:t>东南</w:t>
            </w:r>
          </w:p>
        </w:tc>
        <w:tc>
          <w:tcPr>
            <w:tcW w:w="1179" w:type="dxa"/>
            <w:tcBorders>
              <w:tl2br w:val="nil"/>
              <w:tr2bl w:val="nil"/>
            </w:tcBorders>
            <w:vAlign w:val="center"/>
          </w:tcPr>
          <w:p>
            <w:pPr>
              <w:pStyle w:val="18"/>
              <w:rPr>
                <w:rFonts w:hint="eastAsia"/>
                <w:lang w:val="en-US" w:eastAsia="zh-CN"/>
              </w:rPr>
            </w:pPr>
            <w:r>
              <w:rPr>
                <w:rFonts w:hint="eastAsia"/>
                <w:lang w:val="en-US" w:eastAsia="zh-CN"/>
              </w:rPr>
              <w:t>573m</w:t>
            </w:r>
          </w:p>
        </w:tc>
        <w:tc>
          <w:tcPr>
            <w:tcW w:w="1746" w:type="dxa"/>
            <w:tcBorders>
              <w:tl2br w:val="nil"/>
              <w:tr2bl w:val="nil"/>
            </w:tcBorders>
            <w:vAlign w:val="center"/>
          </w:tcPr>
          <w:p>
            <w:pPr>
              <w:pStyle w:val="18"/>
              <w:rPr>
                <w:rFonts w:hint="eastAsia"/>
                <w:lang w:val="en-US" w:eastAsia="zh-CN"/>
              </w:rPr>
            </w:pPr>
            <w:r>
              <w:rPr>
                <w:rFonts w:hint="eastAsia"/>
                <w:lang w:val="en-US" w:eastAsia="zh-CN"/>
              </w:rPr>
              <w:t>244m</w:t>
            </w:r>
          </w:p>
        </w:tc>
        <w:tc>
          <w:tcPr>
            <w:tcW w:w="1004" w:type="dxa"/>
            <w:tcBorders>
              <w:tl2br w:val="nil"/>
              <w:tr2bl w:val="nil"/>
            </w:tcBorders>
            <w:vAlign w:val="center"/>
          </w:tcPr>
          <w:p>
            <w:pPr>
              <w:pStyle w:val="18"/>
              <w:rPr>
                <w:rFonts w:hint="eastAsia"/>
                <w:lang w:val="en-US" w:eastAsia="zh-CN"/>
              </w:rPr>
            </w:pPr>
            <w:r>
              <w:rPr>
                <w:rFonts w:hint="eastAsia"/>
                <w:lang w:val="en-US" w:eastAsia="zh-CN"/>
              </w:rPr>
              <w:t>1200人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岗边小学</w:t>
            </w:r>
          </w:p>
        </w:tc>
        <w:tc>
          <w:tcPr>
            <w:tcW w:w="722" w:type="dxa"/>
            <w:tcBorders>
              <w:tl2br w:val="nil"/>
              <w:tr2bl w:val="nil"/>
            </w:tcBorders>
            <w:vAlign w:val="center"/>
          </w:tcPr>
          <w:p>
            <w:pPr>
              <w:pStyle w:val="18"/>
              <w:rPr>
                <w:rFonts w:hint="eastAsia"/>
                <w:lang w:val="en-US" w:eastAsia="zh-CN"/>
              </w:rPr>
            </w:pPr>
            <w:r>
              <w:rPr>
                <w:rFonts w:hint="eastAsia"/>
                <w:lang w:val="en-US" w:eastAsia="zh-CN"/>
              </w:rPr>
              <w:t>西</w:t>
            </w:r>
          </w:p>
        </w:tc>
        <w:tc>
          <w:tcPr>
            <w:tcW w:w="1179" w:type="dxa"/>
            <w:tcBorders>
              <w:tl2br w:val="nil"/>
              <w:tr2bl w:val="nil"/>
            </w:tcBorders>
            <w:vAlign w:val="center"/>
          </w:tcPr>
          <w:p>
            <w:pPr>
              <w:pStyle w:val="18"/>
              <w:rPr>
                <w:rFonts w:hint="eastAsia"/>
                <w:lang w:val="en-US" w:eastAsia="zh-CN"/>
              </w:rPr>
            </w:pPr>
            <w:r>
              <w:rPr>
                <w:rFonts w:hint="eastAsia"/>
                <w:lang w:val="en-US" w:eastAsia="zh-CN"/>
              </w:rPr>
              <w:t>2231m</w:t>
            </w:r>
          </w:p>
        </w:tc>
        <w:tc>
          <w:tcPr>
            <w:tcW w:w="1746" w:type="dxa"/>
            <w:tcBorders>
              <w:tl2br w:val="nil"/>
              <w:tr2bl w:val="nil"/>
            </w:tcBorders>
            <w:vAlign w:val="center"/>
          </w:tcPr>
          <w:p>
            <w:pPr>
              <w:pStyle w:val="18"/>
              <w:rPr>
                <w:rFonts w:hint="eastAsia"/>
                <w:lang w:val="en-US" w:eastAsia="zh-CN"/>
              </w:rPr>
            </w:pPr>
            <w:r>
              <w:rPr>
                <w:rFonts w:hint="eastAsia"/>
                <w:lang w:val="en-US" w:eastAsia="zh-CN"/>
              </w:rPr>
              <w:t>2252m</w:t>
            </w:r>
          </w:p>
        </w:tc>
        <w:tc>
          <w:tcPr>
            <w:tcW w:w="1004" w:type="dxa"/>
            <w:tcBorders>
              <w:tl2br w:val="nil"/>
              <w:tr2bl w:val="nil"/>
            </w:tcBorders>
            <w:vAlign w:val="center"/>
          </w:tcPr>
          <w:p>
            <w:pPr>
              <w:pStyle w:val="18"/>
              <w:rPr>
                <w:rFonts w:hint="eastAsia"/>
                <w:lang w:val="en-US" w:eastAsia="zh-CN"/>
              </w:rPr>
            </w:pPr>
            <w:r>
              <w:rPr>
                <w:rFonts w:hint="eastAsia"/>
                <w:lang w:val="en-US" w:eastAsia="zh-CN"/>
              </w:rPr>
              <w:t>600人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排上水</w:t>
            </w:r>
          </w:p>
        </w:tc>
        <w:tc>
          <w:tcPr>
            <w:tcW w:w="722" w:type="dxa"/>
            <w:tcBorders>
              <w:tl2br w:val="nil"/>
              <w:tr2bl w:val="nil"/>
            </w:tcBorders>
            <w:vAlign w:val="center"/>
          </w:tcPr>
          <w:p>
            <w:pPr>
              <w:pStyle w:val="18"/>
              <w:rPr>
                <w:rFonts w:hint="eastAsia"/>
                <w:lang w:val="en-US" w:eastAsia="zh-CN"/>
              </w:rPr>
            </w:pPr>
            <w:r>
              <w:rPr>
                <w:rFonts w:hint="eastAsia"/>
                <w:lang w:val="en-US" w:eastAsia="zh-CN"/>
              </w:rPr>
              <w:t>西北</w:t>
            </w:r>
          </w:p>
        </w:tc>
        <w:tc>
          <w:tcPr>
            <w:tcW w:w="1179" w:type="dxa"/>
            <w:tcBorders>
              <w:tl2br w:val="nil"/>
              <w:tr2bl w:val="nil"/>
            </w:tcBorders>
            <w:vAlign w:val="center"/>
          </w:tcPr>
          <w:p>
            <w:pPr>
              <w:pStyle w:val="18"/>
              <w:rPr>
                <w:rFonts w:hint="eastAsia"/>
                <w:lang w:val="en-US" w:eastAsia="zh-CN"/>
              </w:rPr>
            </w:pPr>
            <w:r>
              <w:rPr>
                <w:rFonts w:hint="eastAsia"/>
                <w:lang w:val="en-US" w:eastAsia="zh-CN"/>
              </w:rPr>
              <w:t>1877m</w:t>
            </w:r>
          </w:p>
        </w:tc>
        <w:tc>
          <w:tcPr>
            <w:tcW w:w="1746" w:type="dxa"/>
            <w:tcBorders>
              <w:tl2br w:val="nil"/>
              <w:tr2bl w:val="nil"/>
            </w:tcBorders>
            <w:vAlign w:val="center"/>
          </w:tcPr>
          <w:p>
            <w:pPr>
              <w:pStyle w:val="18"/>
              <w:rPr>
                <w:rFonts w:hint="eastAsia"/>
                <w:lang w:val="en-US" w:eastAsia="zh-CN"/>
              </w:rPr>
            </w:pPr>
            <w:r>
              <w:rPr>
                <w:rFonts w:hint="eastAsia"/>
                <w:lang w:val="en-US" w:eastAsia="zh-CN"/>
              </w:rPr>
              <w:t>1898m</w:t>
            </w:r>
          </w:p>
        </w:tc>
        <w:tc>
          <w:tcPr>
            <w:tcW w:w="1004" w:type="dxa"/>
            <w:tcBorders>
              <w:tl2br w:val="nil"/>
              <w:tr2bl w:val="nil"/>
            </w:tcBorders>
            <w:vAlign w:val="center"/>
          </w:tcPr>
          <w:p>
            <w:pPr>
              <w:pStyle w:val="18"/>
              <w:rPr>
                <w:rFonts w:hint="eastAsia"/>
                <w:lang w:val="en-US" w:eastAsia="zh-CN"/>
              </w:rPr>
            </w:pPr>
            <w:r>
              <w:rPr>
                <w:rFonts w:hint="eastAsia"/>
                <w:lang w:val="en-US" w:eastAsia="zh-CN"/>
              </w:rPr>
              <w:t>900人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罗边村</w:t>
            </w:r>
          </w:p>
        </w:tc>
        <w:tc>
          <w:tcPr>
            <w:tcW w:w="722" w:type="dxa"/>
            <w:tcBorders>
              <w:tl2br w:val="nil"/>
              <w:tr2bl w:val="nil"/>
            </w:tcBorders>
            <w:vAlign w:val="center"/>
          </w:tcPr>
          <w:p>
            <w:pPr>
              <w:pStyle w:val="18"/>
              <w:rPr>
                <w:rFonts w:hint="eastAsia"/>
                <w:lang w:val="en-US" w:eastAsia="zh-CN"/>
              </w:rPr>
            </w:pPr>
            <w:r>
              <w:rPr>
                <w:rFonts w:hint="eastAsia"/>
                <w:lang w:val="en-US" w:eastAsia="zh-CN"/>
              </w:rPr>
              <w:t>北</w:t>
            </w:r>
          </w:p>
        </w:tc>
        <w:tc>
          <w:tcPr>
            <w:tcW w:w="1179" w:type="dxa"/>
            <w:tcBorders>
              <w:tl2br w:val="nil"/>
              <w:tr2bl w:val="nil"/>
            </w:tcBorders>
            <w:vAlign w:val="center"/>
          </w:tcPr>
          <w:p>
            <w:pPr>
              <w:pStyle w:val="18"/>
              <w:rPr>
                <w:rFonts w:hint="eastAsia"/>
                <w:lang w:val="en-US" w:eastAsia="zh-CN"/>
              </w:rPr>
            </w:pPr>
            <w:r>
              <w:rPr>
                <w:rFonts w:hint="eastAsia"/>
                <w:lang w:val="en-US" w:eastAsia="zh-CN"/>
              </w:rPr>
              <w:t>1000</w:t>
            </w:r>
          </w:p>
        </w:tc>
        <w:tc>
          <w:tcPr>
            <w:tcW w:w="1746" w:type="dxa"/>
            <w:tcBorders>
              <w:tl2br w:val="nil"/>
              <w:tr2bl w:val="nil"/>
            </w:tcBorders>
            <w:vAlign w:val="center"/>
          </w:tcPr>
          <w:p>
            <w:pPr>
              <w:pStyle w:val="18"/>
              <w:rPr>
                <w:rFonts w:hint="eastAsia"/>
                <w:lang w:val="en-US" w:eastAsia="zh-CN"/>
              </w:rPr>
            </w:pPr>
            <w:r>
              <w:rPr>
                <w:rFonts w:hint="eastAsia"/>
                <w:lang w:val="en-US" w:eastAsia="zh-CN"/>
              </w:rPr>
              <w:t>1020m</w:t>
            </w:r>
          </w:p>
        </w:tc>
        <w:tc>
          <w:tcPr>
            <w:tcW w:w="1004" w:type="dxa"/>
            <w:tcBorders>
              <w:tl2br w:val="nil"/>
              <w:tr2bl w:val="nil"/>
            </w:tcBorders>
            <w:vAlign w:val="center"/>
          </w:tcPr>
          <w:p>
            <w:pPr>
              <w:pStyle w:val="18"/>
              <w:rPr>
                <w:rFonts w:hint="eastAsia"/>
                <w:lang w:val="en-US" w:eastAsia="zh-CN"/>
              </w:rPr>
            </w:pPr>
            <w:r>
              <w:rPr>
                <w:rFonts w:hint="eastAsia"/>
                <w:lang w:val="en-US" w:eastAsia="zh-CN"/>
              </w:rPr>
              <w:t>800人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通天岩景区</w:t>
            </w:r>
          </w:p>
        </w:tc>
        <w:tc>
          <w:tcPr>
            <w:tcW w:w="722" w:type="dxa"/>
            <w:tcBorders>
              <w:tl2br w:val="nil"/>
              <w:tr2bl w:val="nil"/>
            </w:tcBorders>
            <w:vAlign w:val="center"/>
          </w:tcPr>
          <w:p>
            <w:pPr>
              <w:pStyle w:val="18"/>
              <w:rPr>
                <w:rFonts w:hint="eastAsia"/>
                <w:lang w:val="en-US" w:eastAsia="zh-CN"/>
              </w:rPr>
            </w:pPr>
            <w:r>
              <w:rPr>
                <w:rFonts w:hint="eastAsia"/>
                <w:lang w:val="en-US" w:eastAsia="zh-CN"/>
              </w:rPr>
              <w:t>北</w:t>
            </w:r>
          </w:p>
        </w:tc>
        <w:tc>
          <w:tcPr>
            <w:tcW w:w="1179" w:type="dxa"/>
            <w:tcBorders>
              <w:tl2br w:val="nil"/>
              <w:tr2bl w:val="nil"/>
            </w:tcBorders>
            <w:vAlign w:val="center"/>
          </w:tcPr>
          <w:p>
            <w:pPr>
              <w:pStyle w:val="18"/>
              <w:rPr>
                <w:rFonts w:hint="eastAsia"/>
                <w:lang w:val="en-US" w:eastAsia="zh-CN"/>
              </w:rPr>
            </w:pPr>
            <w:r>
              <w:rPr>
                <w:rFonts w:hint="eastAsia"/>
                <w:lang w:val="en-US" w:eastAsia="zh-CN"/>
              </w:rPr>
              <w:t>1769m</w:t>
            </w:r>
          </w:p>
        </w:tc>
        <w:tc>
          <w:tcPr>
            <w:tcW w:w="1746" w:type="dxa"/>
            <w:tcBorders>
              <w:tl2br w:val="nil"/>
              <w:tr2bl w:val="nil"/>
            </w:tcBorders>
            <w:vAlign w:val="center"/>
          </w:tcPr>
          <w:p>
            <w:pPr>
              <w:pStyle w:val="18"/>
              <w:rPr>
                <w:rFonts w:hint="eastAsia"/>
                <w:lang w:val="en-US" w:eastAsia="zh-CN"/>
              </w:rPr>
            </w:pPr>
            <w:r>
              <w:rPr>
                <w:rFonts w:hint="eastAsia"/>
                <w:lang w:val="en-US" w:eastAsia="zh-CN"/>
              </w:rPr>
              <w:t>1789m</w:t>
            </w:r>
          </w:p>
        </w:tc>
        <w:tc>
          <w:tcPr>
            <w:tcW w:w="1004" w:type="dxa"/>
            <w:tcBorders>
              <w:tl2br w:val="nil"/>
              <w:tr2bl w:val="nil"/>
            </w:tcBorders>
            <w:vAlign w:val="center"/>
          </w:tcPr>
          <w:p>
            <w:pPr>
              <w:pStyle w:val="18"/>
              <w:rPr>
                <w:rFonts w:hint="eastAsia"/>
                <w:lang w:val="en-US" w:eastAsia="zh-CN"/>
              </w:rPr>
            </w:pPr>
            <w:r>
              <w:rPr>
                <w:rFonts w:hint="eastAsia"/>
                <w:lang w:val="en-US" w:eastAsia="zh-CN"/>
              </w:rPr>
              <w:t>1500人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朱边</w:t>
            </w:r>
          </w:p>
        </w:tc>
        <w:tc>
          <w:tcPr>
            <w:tcW w:w="722" w:type="dxa"/>
            <w:tcBorders>
              <w:tl2br w:val="nil"/>
              <w:tr2bl w:val="nil"/>
            </w:tcBorders>
            <w:vAlign w:val="center"/>
          </w:tcPr>
          <w:p>
            <w:pPr>
              <w:pStyle w:val="18"/>
              <w:rPr>
                <w:rFonts w:hint="eastAsia"/>
                <w:lang w:val="en-US" w:eastAsia="zh-CN"/>
              </w:rPr>
            </w:pPr>
            <w:r>
              <w:rPr>
                <w:rFonts w:hint="eastAsia"/>
                <w:lang w:val="en-US" w:eastAsia="zh-CN"/>
              </w:rPr>
              <w:t>北</w:t>
            </w:r>
          </w:p>
        </w:tc>
        <w:tc>
          <w:tcPr>
            <w:tcW w:w="1179" w:type="dxa"/>
            <w:tcBorders>
              <w:tl2br w:val="nil"/>
              <w:tr2bl w:val="nil"/>
            </w:tcBorders>
            <w:vAlign w:val="center"/>
          </w:tcPr>
          <w:p>
            <w:pPr>
              <w:pStyle w:val="18"/>
              <w:rPr>
                <w:rFonts w:hint="eastAsia"/>
                <w:lang w:val="en-US" w:eastAsia="zh-CN"/>
              </w:rPr>
            </w:pPr>
            <w:r>
              <w:rPr>
                <w:rFonts w:hint="eastAsia"/>
                <w:lang w:val="en-US" w:eastAsia="zh-CN"/>
              </w:rPr>
              <w:t>420m</w:t>
            </w:r>
          </w:p>
        </w:tc>
        <w:tc>
          <w:tcPr>
            <w:tcW w:w="1746" w:type="dxa"/>
            <w:tcBorders>
              <w:tl2br w:val="nil"/>
              <w:tr2bl w:val="nil"/>
            </w:tcBorders>
            <w:vAlign w:val="center"/>
          </w:tcPr>
          <w:p>
            <w:pPr>
              <w:pStyle w:val="18"/>
              <w:rPr>
                <w:rFonts w:hint="eastAsia"/>
                <w:lang w:val="en-US" w:eastAsia="zh-CN"/>
              </w:rPr>
            </w:pPr>
            <w:r>
              <w:rPr>
                <w:rFonts w:hint="eastAsia"/>
                <w:lang w:val="en-US" w:eastAsia="zh-CN"/>
              </w:rPr>
              <w:t>430m</w:t>
            </w:r>
          </w:p>
        </w:tc>
        <w:tc>
          <w:tcPr>
            <w:tcW w:w="1004" w:type="dxa"/>
            <w:tcBorders>
              <w:tl2br w:val="nil"/>
              <w:tr2bl w:val="nil"/>
            </w:tcBorders>
            <w:vAlign w:val="center"/>
          </w:tcPr>
          <w:p>
            <w:pPr>
              <w:pStyle w:val="18"/>
              <w:rPr>
                <w:rFonts w:hint="eastAsia"/>
                <w:lang w:val="en-US" w:eastAsia="zh-CN"/>
              </w:rPr>
            </w:pPr>
            <w:r>
              <w:rPr>
                <w:rFonts w:hint="eastAsia"/>
                <w:lang w:val="en-US" w:eastAsia="zh-CN"/>
              </w:rPr>
              <w:t>800人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陈基岭背</w:t>
            </w:r>
          </w:p>
        </w:tc>
        <w:tc>
          <w:tcPr>
            <w:tcW w:w="722" w:type="dxa"/>
            <w:tcBorders>
              <w:tl2br w:val="nil"/>
              <w:tr2bl w:val="nil"/>
            </w:tcBorders>
            <w:vAlign w:val="center"/>
          </w:tcPr>
          <w:p>
            <w:pPr>
              <w:pStyle w:val="18"/>
              <w:rPr>
                <w:rFonts w:hint="eastAsia"/>
                <w:lang w:val="en-US" w:eastAsia="zh-CN"/>
              </w:rPr>
            </w:pPr>
            <w:r>
              <w:rPr>
                <w:rFonts w:hint="eastAsia"/>
                <w:lang w:val="en-US" w:eastAsia="zh-CN"/>
              </w:rPr>
              <w:t>东北</w:t>
            </w:r>
          </w:p>
        </w:tc>
        <w:tc>
          <w:tcPr>
            <w:tcW w:w="1179" w:type="dxa"/>
            <w:tcBorders>
              <w:tl2br w:val="nil"/>
              <w:tr2bl w:val="nil"/>
            </w:tcBorders>
            <w:vAlign w:val="center"/>
          </w:tcPr>
          <w:p>
            <w:pPr>
              <w:pStyle w:val="18"/>
              <w:rPr>
                <w:rFonts w:hint="eastAsia"/>
                <w:lang w:val="en-US" w:eastAsia="zh-CN"/>
              </w:rPr>
            </w:pPr>
            <w:r>
              <w:rPr>
                <w:rFonts w:hint="eastAsia"/>
                <w:lang w:val="en-US" w:eastAsia="zh-CN"/>
              </w:rPr>
              <w:t>479m</w:t>
            </w:r>
          </w:p>
        </w:tc>
        <w:tc>
          <w:tcPr>
            <w:tcW w:w="1746" w:type="dxa"/>
            <w:tcBorders>
              <w:tl2br w:val="nil"/>
              <w:tr2bl w:val="nil"/>
            </w:tcBorders>
            <w:vAlign w:val="center"/>
          </w:tcPr>
          <w:p>
            <w:pPr>
              <w:pStyle w:val="18"/>
              <w:rPr>
                <w:rFonts w:hint="eastAsia"/>
                <w:lang w:val="en-US" w:eastAsia="zh-CN"/>
              </w:rPr>
            </w:pPr>
            <w:r>
              <w:rPr>
                <w:rFonts w:hint="eastAsia"/>
                <w:lang w:val="en-US" w:eastAsia="zh-CN"/>
              </w:rPr>
              <w:t>503m</w:t>
            </w:r>
          </w:p>
        </w:tc>
        <w:tc>
          <w:tcPr>
            <w:tcW w:w="1004" w:type="dxa"/>
            <w:tcBorders>
              <w:tl2br w:val="nil"/>
              <w:tr2bl w:val="nil"/>
            </w:tcBorders>
            <w:vAlign w:val="center"/>
          </w:tcPr>
          <w:p>
            <w:pPr>
              <w:pStyle w:val="18"/>
              <w:rPr>
                <w:rFonts w:hint="eastAsia"/>
                <w:lang w:val="en-US" w:eastAsia="zh-CN"/>
              </w:rPr>
            </w:pPr>
            <w:r>
              <w:rPr>
                <w:rFonts w:hint="eastAsia"/>
                <w:lang w:val="en-US" w:eastAsia="zh-CN"/>
              </w:rPr>
              <w:t>400人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和尚庄</w:t>
            </w:r>
          </w:p>
        </w:tc>
        <w:tc>
          <w:tcPr>
            <w:tcW w:w="722" w:type="dxa"/>
            <w:tcBorders>
              <w:tl2br w:val="nil"/>
              <w:tr2bl w:val="nil"/>
            </w:tcBorders>
            <w:vAlign w:val="center"/>
          </w:tcPr>
          <w:p>
            <w:pPr>
              <w:pStyle w:val="18"/>
              <w:rPr>
                <w:rFonts w:hint="eastAsia"/>
                <w:lang w:val="en-US" w:eastAsia="zh-CN"/>
              </w:rPr>
            </w:pPr>
            <w:r>
              <w:rPr>
                <w:rFonts w:hint="eastAsia"/>
                <w:lang w:val="en-US" w:eastAsia="zh-CN"/>
              </w:rPr>
              <w:t>东北</w:t>
            </w:r>
          </w:p>
        </w:tc>
        <w:tc>
          <w:tcPr>
            <w:tcW w:w="1179" w:type="dxa"/>
            <w:tcBorders>
              <w:tl2br w:val="nil"/>
              <w:tr2bl w:val="nil"/>
            </w:tcBorders>
            <w:vAlign w:val="center"/>
          </w:tcPr>
          <w:p>
            <w:pPr>
              <w:pStyle w:val="18"/>
              <w:rPr>
                <w:rFonts w:hint="eastAsia"/>
                <w:lang w:val="en-US" w:eastAsia="zh-CN"/>
              </w:rPr>
            </w:pPr>
            <w:r>
              <w:rPr>
                <w:rFonts w:hint="eastAsia"/>
                <w:lang w:val="en-US" w:eastAsia="zh-CN"/>
              </w:rPr>
              <w:t>746m</w:t>
            </w:r>
          </w:p>
        </w:tc>
        <w:tc>
          <w:tcPr>
            <w:tcW w:w="1746" w:type="dxa"/>
            <w:tcBorders>
              <w:tl2br w:val="nil"/>
              <w:tr2bl w:val="nil"/>
            </w:tcBorders>
            <w:vAlign w:val="center"/>
          </w:tcPr>
          <w:p>
            <w:pPr>
              <w:pStyle w:val="18"/>
              <w:rPr>
                <w:rFonts w:hint="eastAsia"/>
                <w:lang w:val="en-US" w:eastAsia="zh-CN"/>
              </w:rPr>
            </w:pPr>
            <w:r>
              <w:rPr>
                <w:rFonts w:hint="eastAsia"/>
                <w:lang w:val="en-US" w:eastAsia="zh-CN"/>
              </w:rPr>
              <w:t>770m</w:t>
            </w:r>
          </w:p>
        </w:tc>
        <w:tc>
          <w:tcPr>
            <w:tcW w:w="1004" w:type="dxa"/>
            <w:tcBorders>
              <w:tl2br w:val="nil"/>
              <w:tr2bl w:val="nil"/>
            </w:tcBorders>
            <w:vAlign w:val="center"/>
          </w:tcPr>
          <w:p>
            <w:pPr>
              <w:pStyle w:val="18"/>
              <w:rPr>
                <w:rFonts w:hint="eastAsia"/>
                <w:lang w:val="en-US" w:eastAsia="zh-CN"/>
              </w:rPr>
            </w:pPr>
            <w:r>
              <w:rPr>
                <w:rFonts w:hint="eastAsia"/>
                <w:lang w:val="en-US" w:eastAsia="zh-CN"/>
              </w:rPr>
              <w:t>500人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val="en-US" w:eastAsia="zh-CN"/>
              </w:rPr>
            </w:pPr>
            <w:r>
              <w:rPr>
                <w:rFonts w:hint="eastAsia"/>
                <w:lang w:eastAsia="zh-CN"/>
              </w:rPr>
              <w:t>赣州</w:t>
            </w:r>
            <w:r>
              <w:rPr>
                <w:rFonts w:hint="eastAsia"/>
                <w:lang w:val="en-US" w:eastAsia="zh-CN"/>
              </w:rPr>
              <w:t>120第7急救中心</w:t>
            </w:r>
          </w:p>
        </w:tc>
        <w:tc>
          <w:tcPr>
            <w:tcW w:w="722" w:type="dxa"/>
            <w:tcBorders>
              <w:tl2br w:val="nil"/>
              <w:tr2bl w:val="nil"/>
            </w:tcBorders>
            <w:vAlign w:val="center"/>
          </w:tcPr>
          <w:p>
            <w:pPr>
              <w:pStyle w:val="18"/>
              <w:rPr>
                <w:rFonts w:hint="eastAsia"/>
                <w:lang w:val="en-US" w:eastAsia="zh-CN"/>
              </w:rPr>
            </w:pPr>
            <w:r>
              <w:rPr>
                <w:rFonts w:hint="eastAsia"/>
                <w:lang w:val="en-US" w:eastAsia="zh-CN"/>
              </w:rPr>
              <w:t>西</w:t>
            </w:r>
          </w:p>
        </w:tc>
        <w:tc>
          <w:tcPr>
            <w:tcW w:w="1179" w:type="dxa"/>
            <w:tcBorders>
              <w:tl2br w:val="nil"/>
              <w:tr2bl w:val="nil"/>
            </w:tcBorders>
            <w:vAlign w:val="center"/>
          </w:tcPr>
          <w:p>
            <w:pPr>
              <w:pStyle w:val="18"/>
              <w:rPr>
                <w:rFonts w:hint="eastAsia"/>
                <w:lang w:val="en-US" w:eastAsia="zh-CN"/>
              </w:rPr>
            </w:pPr>
            <w:r>
              <w:rPr>
                <w:rFonts w:hint="eastAsia"/>
                <w:lang w:val="en-US" w:eastAsia="zh-CN"/>
              </w:rPr>
              <w:t>805m</w:t>
            </w:r>
          </w:p>
        </w:tc>
        <w:tc>
          <w:tcPr>
            <w:tcW w:w="1746" w:type="dxa"/>
            <w:tcBorders>
              <w:tl2br w:val="nil"/>
              <w:tr2bl w:val="nil"/>
            </w:tcBorders>
            <w:vAlign w:val="center"/>
          </w:tcPr>
          <w:p>
            <w:pPr>
              <w:pStyle w:val="18"/>
              <w:rPr>
                <w:rFonts w:hint="eastAsia"/>
                <w:lang w:val="en-US" w:eastAsia="zh-CN"/>
              </w:rPr>
            </w:pPr>
            <w:r>
              <w:rPr>
                <w:rFonts w:hint="eastAsia"/>
                <w:lang w:val="en-US" w:eastAsia="zh-CN"/>
              </w:rPr>
              <w:t>840m</w:t>
            </w:r>
          </w:p>
        </w:tc>
        <w:tc>
          <w:tcPr>
            <w:tcW w:w="1004" w:type="dxa"/>
            <w:tcBorders>
              <w:tl2br w:val="nil"/>
              <w:tr2bl w:val="nil"/>
            </w:tcBorders>
            <w:vAlign w:val="center"/>
          </w:tcPr>
          <w:p>
            <w:pPr>
              <w:pStyle w:val="18"/>
              <w:rPr>
                <w:rFonts w:hint="eastAsia"/>
                <w:lang w:val="en-US" w:eastAsia="zh-CN"/>
              </w:rPr>
            </w:pPr>
            <w:r>
              <w:rPr>
                <w:rFonts w:hint="eastAsia"/>
                <w:lang w:val="en-US" w:eastAsia="zh-CN"/>
              </w:rPr>
              <w:t>400人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章贡区公租房</w:t>
            </w:r>
          </w:p>
        </w:tc>
        <w:tc>
          <w:tcPr>
            <w:tcW w:w="722" w:type="dxa"/>
            <w:tcBorders>
              <w:tl2br w:val="nil"/>
              <w:tr2bl w:val="nil"/>
            </w:tcBorders>
            <w:vAlign w:val="center"/>
          </w:tcPr>
          <w:p>
            <w:pPr>
              <w:pStyle w:val="18"/>
              <w:rPr>
                <w:rFonts w:hint="eastAsia"/>
                <w:lang w:val="en-US" w:eastAsia="zh-CN"/>
              </w:rPr>
            </w:pPr>
            <w:r>
              <w:rPr>
                <w:rFonts w:hint="eastAsia"/>
                <w:lang w:val="en-US" w:eastAsia="zh-CN"/>
              </w:rPr>
              <w:t>西</w:t>
            </w:r>
          </w:p>
        </w:tc>
        <w:tc>
          <w:tcPr>
            <w:tcW w:w="1179" w:type="dxa"/>
            <w:tcBorders>
              <w:tl2br w:val="nil"/>
              <w:tr2bl w:val="nil"/>
            </w:tcBorders>
            <w:vAlign w:val="center"/>
          </w:tcPr>
          <w:p>
            <w:pPr>
              <w:pStyle w:val="18"/>
              <w:rPr>
                <w:rFonts w:hint="eastAsia"/>
                <w:lang w:val="en-US" w:eastAsia="zh-CN"/>
              </w:rPr>
            </w:pPr>
            <w:r>
              <w:rPr>
                <w:rFonts w:hint="eastAsia"/>
                <w:lang w:val="en-US" w:eastAsia="zh-CN"/>
              </w:rPr>
              <w:t>1135m</w:t>
            </w:r>
          </w:p>
        </w:tc>
        <w:tc>
          <w:tcPr>
            <w:tcW w:w="1746" w:type="dxa"/>
            <w:tcBorders>
              <w:tl2br w:val="nil"/>
              <w:tr2bl w:val="nil"/>
            </w:tcBorders>
            <w:vAlign w:val="center"/>
          </w:tcPr>
          <w:p>
            <w:pPr>
              <w:pStyle w:val="18"/>
              <w:rPr>
                <w:rFonts w:hint="eastAsia"/>
                <w:lang w:val="en-US" w:eastAsia="zh-CN"/>
              </w:rPr>
            </w:pPr>
            <w:r>
              <w:rPr>
                <w:rFonts w:hint="eastAsia"/>
                <w:lang w:val="en-US" w:eastAsia="zh-CN"/>
              </w:rPr>
              <w:t>1170m</w:t>
            </w:r>
          </w:p>
        </w:tc>
        <w:tc>
          <w:tcPr>
            <w:tcW w:w="1004" w:type="dxa"/>
            <w:tcBorders>
              <w:tl2br w:val="nil"/>
              <w:tr2bl w:val="nil"/>
            </w:tcBorders>
            <w:vAlign w:val="center"/>
          </w:tcPr>
          <w:p>
            <w:pPr>
              <w:pStyle w:val="18"/>
              <w:rPr>
                <w:rFonts w:hint="eastAsia"/>
                <w:lang w:val="en-US" w:eastAsia="zh-CN"/>
              </w:rPr>
            </w:pPr>
            <w:r>
              <w:rPr>
                <w:rFonts w:hint="eastAsia"/>
                <w:lang w:val="en-US" w:eastAsia="zh-CN"/>
              </w:rPr>
              <w:t>1000人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水西镇</w:t>
            </w:r>
          </w:p>
        </w:tc>
        <w:tc>
          <w:tcPr>
            <w:tcW w:w="722" w:type="dxa"/>
            <w:tcBorders>
              <w:tl2br w:val="nil"/>
              <w:tr2bl w:val="nil"/>
            </w:tcBorders>
            <w:vAlign w:val="center"/>
          </w:tcPr>
          <w:p>
            <w:pPr>
              <w:pStyle w:val="18"/>
              <w:rPr>
                <w:rFonts w:hint="eastAsia"/>
                <w:lang w:val="en-US" w:eastAsia="zh-CN"/>
              </w:rPr>
            </w:pPr>
            <w:r>
              <w:rPr>
                <w:rFonts w:hint="eastAsia"/>
                <w:lang w:val="en-US" w:eastAsia="zh-CN"/>
              </w:rPr>
              <w:t>西</w:t>
            </w:r>
          </w:p>
        </w:tc>
        <w:tc>
          <w:tcPr>
            <w:tcW w:w="1179" w:type="dxa"/>
            <w:tcBorders>
              <w:tl2br w:val="nil"/>
              <w:tr2bl w:val="nil"/>
            </w:tcBorders>
            <w:vAlign w:val="center"/>
          </w:tcPr>
          <w:p>
            <w:pPr>
              <w:pStyle w:val="18"/>
              <w:rPr>
                <w:rFonts w:hint="eastAsia"/>
                <w:lang w:val="en-US" w:eastAsia="zh-CN"/>
              </w:rPr>
            </w:pPr>
            <w:r>
              <w:rPr>
                <w:rFonts w:hint="eastAsia"/>
                <w:lang w:val="en-US" w:eastAsia="zh-CN"/>
              </w:rPr>
              <w:t>1000m</w:t>
            </w:r>
          </w:p>
        </w:tc>
        <w:tc>
          <w:tcPr>
            <w:tcW w:w="1746" w:type="dxa"/>
            <w:tcBorders>
              <w:tl2br w:val="nil"/>
              <w:tr2bl w:val="nil"/>
            </w:tcBorders>
            <w:vAlign w:val="center"/>
          </w:tcPr>
          <w:p>
            <w:pPr>
              <w:pStyle w:val="18"/>
              <w:rPr>
                <w:rFonts w:hint="eastAsia"/>
                <w:lang w:val="en-US" w:eastAsia="zh-CN"/>
              </w:rPr>
            </w:pPr>
            <w:r>
              <w:rPr>
                <w:rFonts w:hint="eastAsia"/>
                <w:lang w:val="en-US" w:eastAsia="zh-CN"/>
              </w:rPr>
              <w:t>1035m</w:t>
            </w:r>
          </w:p>
        </w:tc>
        <w:tc>
          <w:tcPr>
            <w:tcW w:w="1004" w:type="dxa"/>
            <w:tcBorders>
              <w:tl2br w:val="nil"/>
              <w:tr2bl w:val="nil"/>
            </w:tcBorders>
            <w:vAlign w:val="center"/>
          </w:tcPr>
          <w:p>
            <w:pPr>
              <w:pStyle w:val="18"/>
              <w:rPr>
                <w:rFonts w:hint="eastAsia"/>
                <w:lang w:val="en-US" w:eastAsia="zh-CN"/>
              </w:rPr>
            </w:pPr>
            <w:r>
              <w:rPr>
                <w:rFonts w:hint="eastAsia"/>
                <w:lang w:val="en-US" w:eastAsia="zh-CN"/>
              </w:rPr>
              <w:t>3000人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佛岭</w:t>
            </w:r>
          </w:p>
        </w:tc>
        <w:tc>
          <w:tcPr>
            <w:tcW w:w="722" w:type="dxa"/>
            <w:tcBorders>
              <w:tl2br w:val="nil"/>
              <w:tr2bl w:val="nil"/>
            </w:tcBorders>
            <w:vAlign w:val="center"/>
          </w:tcPr>
          <w:p>
            <w:pPr>
              <w:pStyle w:val="18"/>
              <w:rPr>
                <w:rFonts w:hint="eastAsia"/>
                <w:lang w:val="en-US" w:eastAsia="zh-CN"/>
              </w:rPr>
            </w:pPr>
            <w:r>
              <w:rPr>
                <w:rFonts w:hint="eastAsia"/>
                <w:lang w:val="en-US" w:eastAsia="zh-CN"/>
              </w:rPr>
              <w:t>东南</w:t>
            </w:r>
          </w:p>
        </w:tc>
        <w:tc>
          <w:tcPr>
            <w:tcW w:w="1179" w:type="dxa"/>
            <w:tcBorders>
              <w:tl2br w:val="nil"/>
              <w:tr2bl w:val="nil"/>
            </w:tcBorders>
            <w:vAlign w:val="center"/>
          </w:tcPr>
          <w:p>
            <w:pPr>
              <w:pStyle w:val="18"/>
              <w:rPr>
                <w:rFonts w:hint="eastAsia"/>
                <w:lang w:val="en-US" w:eastAsia="zh-CN"/>
              </w:rPr>
            </w:pPr>
            <w:r>
              <w:rPr>
                <w:rFonts w:hint="eastAsia"/>
                <w:lang w:val="en-US" w:eastAsia="zh-CN"/>
              </w:rPr>
              <w:t>1984m</w:t>
            </w:r>
          </w:p>
        </w:tc>
        <w:tc>
          <w:tcPr>
            <w:tcW w:w="1746" w:type="dxa"/>
            <w:tcBorders>
              <w:tl2br w:val="nil"/>
              <w:tr2bl w:val="nil"/>
            </w:tcBorders>
            <w:vAlign w:val="center"/>
          </w:tcPr>
          <w:p>
            <w:pPr>
              <w:pStyle w:val="18"/>
              <w:rPr>
                <w:rFonts w:hint="eastAsia"/>
                <w:lang w:val="en-US" w:eastAsia="zh-CN"/>
              </w:rPr>
            </w:pPr>
            <w:r>
              <w:rPr>
                <w:rFonts w:hint="eastAsia"/>
                <w:lang w:val="en-US" w:eastAsia="zh-CN"/>
              </w:rPr>
              <w:t>1987m</w:t>
            </w:r>
          </w:p>
        </w:tc>
        <w:tc>
          <w:tcPr>
            <w:tcW w:w="1004" w:type="dxa"/>
            <w:tcBorders>
              <w:tl2br w:val="nil"/>
              <w:tr2bl w:val="nil"/>
            </w:tcBorders>
            <w:vAlign w:val="center"/>
          </w:tcPr>
          <w:p>
            <w:pPr>
              <w:pStyle w:val="18"/>
              <w:rPr>
                <w:rFonts w:hint="eastAsia"/>
                <w:lang w:val="en-US" w:eastAsia="zh-CN"/>
              </w:rPr>
            </w:pPr>
            <w:r>
              <w:rPr>
                <w:rFonts w:hint="eastAsia"/>
                <w:lang w:val="en-US" w:eastAsia="zh-CN"/>
              </w:rPr>
              <w:t>1500人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江西环境工程职业学院</w:t>
            </w:r>
          </w:p>
        </w:tc>
        <w:tc>
          <w:tcPr>
            <w:tcW w:w="722" w:type="dxa"/>
            <w:tcBorders>
              <w:tl2br w:val="nil"/>
              <w:tr2bl w:val="nil"/>
            </w:tcBorders>
            <w:vAlign w:val="center"/>
          </w:tcPr>
          <w:p>
            <w:pPr>
              <w:pStyle w:val="18"/>
              <w:rPr>
                <w:rFonts w:hint="eastAsia"/>
                <w:lang w:val="en-US" w:eastAsia="zh-CN"/>
              </w:rPr>
            </w:pPr>
            <w:r>
              <w:rPr>
                <w:rFonts w:hint="eastAsia"/>
                <w:lang w:val="en-US" w:eastAsia="zh-CN"/>
              </w:rPr>
              <w:t>南</w:t>
            </w:r>
          </w:p>
        </w:tc>
        <w:tc>
          <w:tcPr>
            <w:tcW w:w="1179" w:type="dxa"/>
            <w:tcBorders>
              <w:tl2br w:val="nil"/>
              <w:tr2bl w:val="nil"/>
            </w:tcBorders>
            <w:vAlign w:val="center"/>
          </w:tcPr>
          <w:p>
            <w:pPr>
              <w:pStyle w:val="18"/>
              <w:rPr>
                <w:rFonts w:hint="eastAsia"/>
                <w:lang w:val="en-US" w:eastAsia="zh-CN"/>
              </w:rPr>
            </w:pPr>
            <w:r>
              <w:rPr>
                <w:rFonts w:hint="eastAsia"/>
                <w:lang w:val="en-US" w:eastAsia="zh-CN"/>
              </w:rPr>
              <w:t>1251</w:t>
            </w:r>
          </w:p>
        </w:tc>
        <w:tc>
          <w:tcPr>
            <w:tcW w:w="1746" w:type="dxa"/>
            <w:tcBorders>
              <w:tl2br w:val="nil"/>
              <w:tr2bl w:val="nil"/>
            </w:tcBorders>
            <w:vAlign w:val="center"/>
          </w:tcPr>
          <w:p>
            <w:pPr>
              <w:pStyle w:val="18"/>
              <w:rPr>
                <w:rFonts w:hint="eastAsia"/>
                <w:lang w:val="en-US" w:eastAsia="zh-CN"/>
              </w:rPr>
            </w:pPr>
            <w:r>
              <w:rPr>
                <w:rFonts w:hint="eastAsia"/>
                <w:lang w:val="en-US" w:eastAsia="zh-CN"/>
              </w:rPr>
              <w:t>1274m</w:t>
            </w:r>
          </w:p>
        </w:tc>
        <w:tc>
          <w:tcPr>
            <w:tcW w:w="1004" w:type="dxa"/>
            <w:tcBorders>
              <w:tl2br w:val="nil"/>
              <w:tr2bl w:val="nil"/>
            </w:tcBorders>
            <w:vAlign w:val="center"/>
          </w:tcPr>
          <w:p>
            <w:pPr>
              <w:pStyle w:val="18"/>
              <w:rPr>
                <w:rFonts w:hint="eastAsia"/>
                <w:lang w:val="en-US" w:eastAsia="zh-CN"/>
              </w:rPr>
            </w:pPr>
            <w:r>
              <w:rPr>
                <w:rFonts w:hint="eastAsia"/>
                <w:lang w:val="en-US" w:eastAsia="zh-CN"/>
              </w:rPr>
              <w:t>2500人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下安</w:t>
            </w:r>
          </w:p>
        </w:tc>
        <w:tc>
          <w:tcPr>
            <w:tcW w:w="722" w:type="dxa"/>
            <w:tcBorders>
              <w:tl2br w:val="nil"/>
              <w:tr2bl w:val="nil"/>
            </w:tcBorders>
            <w:vAlign w:val="center"/>
          </w:tcPr>
          <w:p>
            <w:pPr>
              <w:pStyle w:val="18"/>
              <w:rPr>
                <w:rFonts w:hint="eastAsia"/>
                <w:lang w:val="en-US" w:eastAsia="zh-CN"/>
              </w:rPr>
            </w:pPr>
            <w:r>
              <w:rPr>
                <w:rFonts w:hint="eastAsia"/>
                <w:lang w:val="en-US" w:eastAsia="zh-CN"/>
              </w:rPr>
              <w:t>南</w:t>
            </w:r>
          </w:p>
        </w:tc>
        <w:tc>
          <w:tcPr>
            <w:tcW w:w="1179" w:type="dxa"/>
            <w:tcBorders>
              <w:tl2br w:val="nil"/>
              <w:tr2bl w:val="nil"/>
            </w:tcBorders>
            <w:vAlign w:val="center"/>
          </w:tcPr>
          <w:p>
            <w:pPr>
              <w:pStyle w:val="18"/>
              <w:rPr>
                <w:rFonts w:hint="eastAsia"/>
                <w:lang w:val="en-US" w:eastAsia="zh-CN"/>
              </w:rPr>
            </w:pPr>
            <w:r>
              <w:rPr>
                <w:rFonts w:hint="eastAsia"/>
                <w:lang w:val="en-US" w:eastAsia="zh-CN"/>
              </w:rPr>
              <w:t>1744m</w:t>
            </w:r>
          </w:p>
        </w:tc>
        <w:tc>
          <w:tcPr>
            <w:tcW w:w="1746" w:type="dxa"/>
            <w:tcBorders>
              <w:tl2br w:val="nil"/>
              <w:tr2bl w:val="nil"/>
            </w:tcBorders>
            <w:vAlign w:val="center"/>
          </w:tcPr>
          <w:p>
            <w:pPr>
              <w:pStyle w:val="18"/>
              <w:rPr>
                <w:rFonts w:hint="eastAsia"/>
                <w:lang w:val="en-US" w:eastAsia="zh-CN"/>
              </w:rPr>
            </w:pPr>
            <w:r>
              <w:rPr>
                <w:rFonts w:hint="eastAsia"/>
                <w:lang w:val="en-US" w:eastAsia="zh-CN"/>
              </w:rPr>
              <w:t>1767m</w:t>
            </w:r>
          </w:p>
        </w:tc>
        <w:tc>
          <w:tcPr>
            <w:tcW w:w="1004" w:type="dxa"/>
            <w:tcBorders>
              <w:tl2br w:val="nil"/>
              <w:tr2bl w:val="nil"/>
            </w:tcBorders>
            <w:vAlign w:val="center"/>
          </w:tcPr>
          <w:p>
            <w:pPr>
              <w:pStyle w:val="18"/>
              <w:rPr>
                <w:rFonts w:hint="eastAsia"/>
                <w:lang w:val="en-US" w:eastAsia="zh-CN"/>
              </w:rPr>
            </w:pPr>
            <w:r>
              <w:rPr>
                <w:rFonts w:hint="eastAsia"/>
                <w:lang w:val="en-US" w:eastAsia="zh-CN"/>
              </w:rPr>
              <w:t>600人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湖边中学</w:t>
            </w:r>
          </w:p>
        </w:tc>
        <w:tc>
          <w:tcPr>
            <w:tcW w:w="722" w:type="dxa"/>
            <w:tcBorders>
              <w:tl2br w:val="nil"/>
              <w:tr2bl w:val="nil"/>
            </w:tcBorders>
            <w:vAlign w:val="center"/>
          </w:tcPr>
          <w:p>
            <w:pPr>
              <w:pStyle w:val="18"/>
              <w:rPr>
                <w:rFonts w:hint="eastAsia"/>
                <w:lang w:val="en-US" w:eastAsia="zh-CN"/>
              </w:rPr>
            </w:pPr>
            <w:r>
              <w:rPr>
                <w:rFonts w:hint="eastAsia"/>
                <w:lang w:val="en-US" w:eastAsia="zh-CN"/>
              </w:rPr>
              <w:t>南</w:t>
            </w:r>
          </w:p>
        </w:tc>
        <w:tc>
          <w:tcPr>
            <w:tcW w:w="1179" w:type="dxa"/>
            <w:tcBorders>
              <w:tl2br w:val="nil"/>
              <w:tr2bl w:val="nil"/>
            </w:tcBorders>
            <w:vAlign w:val="center"/>
          </w:tcPr>
          <w:p>
            <w:pPr>
              <w:pStyle w:val="18"/>
              <w:rPr>
                <w:rFonts w:hint="eastAsia"/>
                <w:lang w:val="en-US" w:eastAsia="zh-CN"/>
              </w:rPr>
            </w:pPr>
            <w:r>
              <w:rPr>
                <w:rFonts w:hint="eastAsia"/>
                <w:lang w:val="en-US" w:eastAsia="zh-CN"/>
              </w:rPr>
              <w:t>2107m</w:t>
            </w:r>
          </w:p>
        </w:tc>
        <w:tc>
          <w:tcPr>
            <w:tcW w:w="1746" w:type="dxa"/>
            <w:tcBorders>
              <w:tl2br w:val="nil"/>
              <w:tr2bl w:val="nil"/>
            </w:tcBorders>
            <w:vAlign w:val="center"/>
          </w:tcPr>
          <w:p>
            <w:pPr>
              <w:pStyle w:val="18"/>
              <w:rPr>
                <w:rFonts w:hint="eastAsia"/>
                <w:lang w:val="en-US" w:eastAsia="zh-CN"/>
              </w:rPr>
            </w:pPr>
            <w:r>
              <w:rPr>
                <w:rFonts w:hint="eastAsia"/>
                <w:lang w:val="en-US" w:eastAsia="zh-CN"/>
              </w:rPr>
              <w:t>2130m</w:t>
            </w:r>
          </w:p>
        </w:tc>
        <w:tc>
          <w:tcPr>
            <w:tcW w:w="1004" w:type="dxa"/>
            <w:tcBorders>
              <w:tl2br w:val="nil"/>
              <w:tr2bl w:val="nil"/>
            </w:tcBorders>
            <w:vAlign w:val="center"/>
          </w:tcPr>
          <w:p>
            <w:pPr>
              <w:pStyle w:val="18"/>
              <w:rPr>
                <w:rFonts w:hint="eastAsia"/>
                <w:lang w:val="en-US" w:eastAsia="zh-CN"/>
              </w:rPr>
            </w:pPr>
            <w:r>
              <w:rPr>
                <w:rFonts w:hint="eastAsia"/>
                <w:lang w:val="en-US" w:eastAsia="zh-CN"/>
              </w:rPr>
              <w:t>800人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vMerge w:val="continue"/>
            <w:tcBorders>
              <w:tl2br w:val="nil"/>
              <w:tr2bl w:val="nil"/>
            </w:tcBorders>
            <w:vAlign w:val="center"/>
          </w:tcPr>
          <w:p>
            <w:pPr>
              <w:pStyle w:val="18"/>
              <w:rPr>
                <w:rFonts w:hint="eastAsia"/>
                <w:lang w:eastAsia="zh-CN"/>
              </w:rPr>
            </w:pPr>
          </w:p>
        </w:tc>
        <w:tc>
          <w:tcPr>
            <w:tcW w:w="1514" w:type="dxa"/>
            <w:tcBorders>
              <w:tl2br w:val="nil"/>
              <w:tr2bl w:val="nil"/>
            </w:tcBorders>
            <w:vAlign w:val="center"/>
          </w:tcPr>
          <w:p>
            <w:pPr>
              <w:pStyle w:val="18"/>
              <w:rPr>
                <w:rFonts w:hint="eastAsia"/>
                <w:lang w:eastAsia="zh-CN"/>
              </w:rPr>
            </w:pPr>
            <w:r>
              <w:rPr>
                <w:rFonts w:hint="eastAsia"/>
                <w:lang w:eastAsia="zh-CN"/>
              </w:rPr>
              <w:t>湖边镇中心小学</w:t>
            </w:r>
          </w:p>
        </w:tc>
        <w:tc>
          <w:tcPr>
            <w:tcW w:w="722" w:type="dxa"/>
            <w:tcBorders>
              <w:tl2br w:val="nil"/>
              <w:tr2bl w:val="nil"/>
            </w:tcBorders>
            <w:vAlign w:val="center"/>
          </w:tcPr>
          <w:p>
            <w:pPr>
              <w:pStyle w:val="18"/>
              <w:rPr>
                <w:rFonts w:hint="eastAsia"/>
                <w:lang w:val="en-US" w:eastAsia="zh-CN"/>
              </w:rPr>
            </w:pPr>
            <w:r>
              <w:rPr>
                <w:rFonts w:hint="eastAsia"/>
                <w:lang w:val="en-US" w:eastAsia="zh-CN"/>
              </w:rPr>
              <w:t>南</w:t>
            </w:r>
          </w:p>
        </w:tc>
        <w:tc>
          <w:tcPr>
            <w:tcW w:w="1179" w:type="dxa"/>
            <w:tcBorders>
              <w:tl2br w:val="nil"/>
              <w:tr2bl w:val="nil"/>
            </w:tcBorders>
            <w:vAlign w:val="center"/>
          </w:tcPr>
          <w:p>
            <w:pPr>
              <w:pStyle w:val="18"/>
              <w:rPr>
                <w:rFonts w:hint="eastAsia"/>
                <w:lang w:val="en-US" w:eastAsia="zh-CN"/>
              </w:rPr>
            </w:pPr>
            <w:r>
              <w:rPr>
                <w:rFonts w:hint="eastAsia"/>
                <w:lang w:val="en-US" w:eastAsia="zh-CN"/>
              </w:rPr>
              <w:t>2372m</w:t>
            </w:r>
          </w:p>
        </w:tc>
        <w:tc>
          <w:tcPr>
            <w:tcW w:w="1746" w:type="dxa"/>
            <w:tcBorders>
              <w:tl2br w:val="nil"/>
              <w:tr2bl w:val="nil"/>
            </w:tcBorders>
            <w:vAlign w:val="center"/>
          </w:tcPr>
          <w:p>
            <w:pPr>
              <w:pStyle w:val="18"/>
              <w:rPr>
                <w:rFonts w:hint="eastAsia"/>
                <w:lang w:val="en-US" w:eastAsia="zh-CN"/>
              </w:rPr>
            </w:pPr>
            <w:r>
              <w:rPr>
                <w:rFonts w:hint="eastAsia"/>
                <w:lang w:val="en-US" w:eastAsia="zh-CN"/>
              </w:rPr>
              <w:t>2395m</w:t>
            </w:r>
          </w:p>
        </w:tc>
        <w:tc>
          <w:tcPr>
            <w:tcW w:w="1004" w:type="dxa"/>
            <w:tcBorders>
              <w:tl2br w:val="nil"/>
              <w:tr2bl w:val="nil"/>
            </w:tcBorders>
            <w:vAlign w:val="center"/>
          </w:tcPr>
          <w:p>
            <w:pPr>
              <w:pStyle w:val="18"/>
              <w:rPr>
                <w:rFonts w:hint="eastAsia"/>
                <w:lang w:val="en-US" w:eastAsia="zh-CN"/>
              </w:rPr>
            </w:pPr>
            <w:r>
              <w:rPr>
                <w:rFonts w:hint="eastAsia"/>
                <w:lang w:val="en-US" w:eastAsia="zh-CN"/>
              </w:rPr>
              <w:t>400人</w:t>
            </w:r>
          </w:p>
        </w:tc>
        <w:tc>
          <w:tcPr>
            <w:tcW w:w="1284" w:type="dxa"/>
            <w:vMerge w:val="continue"/>
            <w:tcBorders>
              <w:tl2br w:val="nil"/>
              <w:tr2bl w:val="nil"/>
            </w:tcBorders>
            <w:vAlign w:val="center"/>
          </w:tcPr>
          <w:p>
            <w:pPr>
              <w:pStyle w:val="18"/>
              <w:rPr>
                <w:rFonts w:hint="default" w:ascii="Times New Roman" w:hAnsi="Times New Roman" w:eastAsia="宋体" w:cs="Times New Roman"/>
                <w:snapToGrid/>
                <w:color w:val="auto"/>
                <w:spacing w:val="4"/>
                <w:w w:val="1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1084" w:type="dxa"/>
            <w:tcBorders>
              <w:tl2br w:val="nil"/>
              <w:tr2bl w:val="nil"/>
            </w:tcBorders>
            <w:vAlign w:val="center"/>
          </w:tcPr>
          <w:p>
            <w:pPr>
              <w:pStyle w:val="18"/>
              <w:rPr>
                <w:rFonts w:hint="eastAsia" w:eastAsia="宋体"/>
                <w:lang w:eastAsia="zh-CN"/>
              </w:rPr>
            </w:pPr>
            <w:r>
              <w:rPr>
                <w:rFonts w:hint="eastAsia"/>
                <w:lang w:eastAsia="zh-CN"/>
              </w:rPr>
              <w:t>水环境环境风险受体</w:t>
            </w:r>
          </w:p>
        </w:tc>
        <w:tc>
          <w:tcPr>
            <w:tcW w:w="1514" w:type="dxa"/>
            <w:tcBorders>
              <w:tl2br w:val="nil"/>
              <w:tr2bl w:val="nil"/>
            </w:tcBorders>
            <w:vAlign w:val="center"/>
          </w:tcPr>
          <w:p>
            <w:pPr>
              <w:pStyle w:val="18"/>
              <w:rPr>
                <w:rFonts w:hint="eastAsia"/>
                <w:lang w:eastAsia="zh-CN"/>
              </w:rPr>
            </w:pPr>
            <w:r>
              <w:rPr>
                <w:rFonts w:hint="eastAsia"/>
              </w:rPr>
              <w:t>赣江</w:t>
            </w:r>
          </w:p>
        </w:tc>
        <w:tc>
          <w:tcPr>
            <w:tcW w:w="722" w:type="dxa"/>
            <w:tcBorders>
              <w:tl2br w:val="nil"/>
              <w:tr2bl w:val="nil"/>
            </w:tcBorders>
            <w:vAlign w:val="center"/>
          </w:tcPr>
          <w:p>
            <w:pPr>
              <w:pStyle w:val="18"/>
              <w:rPr>
                <w:rFonts w:hint="eastAsia"/>
                <w:lang w:eastAsia="zh-CN"/>
              </w:rPr>
            </w:pPr>
            <w:r>
              <w:rPr>
                <w:rFonts w:hint="eastAsia"/>
              </w:rPr>
              <w:t>东</w:t>
            </w:r>
          </w:p>
        </w:tc>
        <w:tc>
          <w:tcPr>
            <w:tcW w:w="1179" w:type="dxa"/>
            <w:tcBorders>
              <w:tl2br w:val="nil"/>
              <w:tr2bl w:val="nil"/>
            </w:tcBorders>
            <w:vAlign w:val="center"/>
          </w:tcPr>
          <w:p>
            <w:pPr>
              <w:pStyle w:val="18"/>
              <w:rPr>
                <w:rFonts w:hint="eastAsia"/>
                <w:lang w:val="en-US" w:eastAsia="zh-CN"/>
              </w:rPr>
            </w:pPr>
            <w:r>
              <w:rPr>
                <w:rFonts w:hint="eastAsia"/>
              </w:rPr>
              <w:t>2099</w:t>
            </w:r>
          </w:p>
        </w:tc>
        <w:tc>
          <w:tcPr>
            <w:tcW w:w="1746" w:type="dxa"/>
            <w:tcBorders>
              <w:tl2br w:val="nil"/>
              <w:tr2bl w:val="nil"/>
            </w:tcBorders>
            <w:vAlign w:val="center"/>
          </w:tcPr>
          <w:p>
            <w:pPr>
              <w:pStyle w:val="18"/>
              <w:rPr>
                <w:rFonts w:hint="eastAsia" w:eastAsia="宋体"/>
                <w:lang w:val="en-US" w:eastAsia="zh-CN"/>
              </w:rPr>
            </w:pPr>
            <w:r>
              <w:rPr>
                <w:rFonts w:hint="eastAsia"/>
                <w:lang w:val="en-US" w:eastAsia="zh-CN"/>
              </w:rPr>
              <w:t>/</w:t>
            </w:r>
          </w:p>
        </w:tc>
        <w:tc>
          <w:tcPr>
            <w:tcW w:w="1004" w:type="dxa"/>
            <w:tcBorders>
              <w:tl2br w:val="nil"/>
              <w:tr2bl w:val="nil"/>
            </w:tcBorders>
            <w:vAlign w:val="center"/>
          </w:tcPr>
          <w:p>
            <w:pPr>
              <w:pStyle w:val="18"/>
              <w:rPr>
                <w:rFonts w:hint="eastAsia"/>
                <w:lang w:val="en-US" w:eastAsia="zh-CN"/>
              </w:rPr>
            </w:pPr>
            <w:r>
              <w:t>大河</w:t>
            </w:r>
          </w:p>
        </w:tc>
        <w:tc>
          <w:tcPr>
            <w:tcW w:w="1284" w:type="dxa"/>
            <w:tcBorders>
              <w:tl2br w:val="nil"/>
              <w:tr2bl w:val="nil"/>
            </w:tcBorders>
            <w:vAlign w:val="center"/>
          </w:tcPr>
          <w:p>
            <w:pPr>
              <w:pStyle w:val="18"/>
              <w:rPr>
                <w:rFonts w:hint="default"/>
              </w:rPr>
            </w:pPr>
            <w:r>
              <w:rPr>
                <w:rFonts w:hint="default" w:ascii="Times New Roman" w:hAnsi="Times New Roman" w:eastAsia="宋体" w:cs="Times New Roman"/>
                <w:snapToGrid/>
                <w:color w:val="auto"/>
                <w:spacing w:val="4"/>
                <w:w w:val="100"/>
                <w:sz w:val="21"/>
                <w:szCs w:val="21"/>
                <w:highlight w:val="none"/>
              </w:rPr>
              <w:t>（GB3838-2002）中Ⅲ类水体</w:t>
            </w:r>
          </w:p>
        </w:tc>
      </w:tr>
    </w:tbl>
    <w:p>
      <w:pPr>
        <w:pStyle w:val="14"/>
        <w:rPr>
          <w:rFonts w:hint="default"/>
          <w:lang w:val="en-US" w:eastAsia="zh-CN"/>
        </w:rPr>
      </w:pPr>
    </w:p>
    <w:p>
      <w:pPr>
        <w:pStyle w:val="3"/>
        <w:numPr>
          <w:ilvl w:val="0"/>
          <w:numId w:val="0"/>
        </w:numPr>
        <w:ind w:leftChars="0"/>
        <w:jc w:val="center"/>
        <w:rPr>
          <w:rFonts w:hint="eastAsia" w:ascii="Times New Roman" w:hAnsi="Times New Roman" w:eastAsia="宋体" w:cs="Times New Roman"/>
          <w:color w:val="auto"/>
          <w:highlight w:val="none"/>
          <w:u w:val="none"/>
          <w:lang w:eastAsia="zh-CN"/>
        </w:rPr>
      </w:pPr>
      <w:bookmarkStart w:id="190" w:name="_Toc869"/>
      <w:r>
        <w:rPr>
          <w:rFonts w:hint="default" w:ascii="Times New Roman" w:hAnsi="Times New Roman" w:cs="Times New Roman"/>
          <w:color w:val="auto"/>
          <w:highlight w:val="none"/>
          <w:u w:val="none"/>
        </w:rPr>
        <w:br w:type="page"/>
      </w:r>
      <w:bookmarkStart w:id="191" w:name="_Toc24580"/>
      <w:bookmarkStart w:id="192" w:name="_Toc24231"/>
      <w:bookmarkStart w:id="193" w:name="_Toc22499_WPSOffice_Level1"/>
      <w:r>
        <w:rPr>
          <w:rStyle w:val="26"/>
          <w:rFonts w:hint="eastAsia"/>
          <w:b/>
          <w:lang w:val="en-US" w:eastAsia="zh-CN"/>
        </w:rPr>
        <w:t>3</w:t>
      </w:r>
      <w:bookmarkEnd w:id="190"/>
      <w:bookmarkEnd w:id="191"/>
      <w:bookmarkEnd w:id="192"/>
      <w:r>
        <w:rPr>
          <w:rStyle w:val="26"/>
          <w:rFonts w:hint="eastAsia" w:eastAsia="宋体"/>
          <w:b/>
          <w:lang w:eastAsia="zh-CN"/>
        </w:rPr>
        <w:t>突发环境事件识别</w:t>
      </w:r>
      <w:bookmarkEnd w:id="193"/>
    </w:p>
    <w:p>
      <w:pPr>
        <w:pStyle w:val="20"/>
        <w:rPr>
          <w:rFonts w:hint="default"/>
        </w:rPr>
      </w:pPr>
      <w:bookmarkStart w:id="194" w:name="_Toc27102"/>
      <w:bookmarkStart w:id="195" w:name="_Toc687_WPSOffice_Level1"/>
      <w:bookmarkStart w:id="196" w:name="_Toc26930"/>
      <w:bookmarkStart w:id="197" w:name="_Toc31225"/>
      <w:r>
        <w:rPr>
          <w:rFonts w:hint="eastAsia"/>
          <w:lang w:val="en-US" w:eastAsia="zh-CN"/>
        </w:rPr>
        <w:t>3.1</w:t>
      </w:r>
      <w:r>
        <w:rPr>
          <w:rFonts w:hint="default"/>
        </w:rPr>
        <w:t>企业环境风险源识别</w:t>
      </w:r>
      <w:bookmarkEnd w:id="194"/>
      <w:bookmarkEnd w:id="195"/>
      <w:bookmarkEnd w:id="196"/>
      <w:bookmarkEnd w:id="197"/>
    </w:p>
    <w:p>
      <w:pPr>
        <w:pStyle w:val="14"/>
        <w:rPr>
          <w:rFonts w:hint="default"/>
        </w:rPr>
      </w:pPr>
      <w:r>
        <w:rPr>
          <w:rFonts w:hint="default"/>
        </w:rPr>
        <w:t>根据《建设项目环境风险评价技术导则》（HJ/T169-2004）、《企业突发环境事件风险评估指南（试行）》（环办[2014]34号）等法律法规技术规范，对</w:t>
      </w:r>
      <w:r>
        <w:rPr>
          <w:rFonts w:hint="eastAsia"/>
          <w:lang w:eastAsia="zh-CN"/>
        </w:rPr>
        <w:t>赣州经开区</w:t>
      </w:r>
      <w:r>
        <w:rPr>
          <w:rFonts w:hint="default"/>
        </w:rPr>
        <w:t>污水厂涉及风险物质、生产工艺和设施及环境风险源等方面进行辨识，详见下表。</w:t>
      </w:r>
    </w:p>
    <w:p>
      <w:pPr>
        <w:pStyle w:val="16"/>
        <w:rPr>
          <w:rFonts w:hint="default"/>
        </w:rPr>
      </w:pPr>
      <w:r>
        <w:rPr>
          <w:rFonts w:hint="default"/>
        </w:rPr>
        <w:t>表3.1-1 环境风险源基本情况调查一览表</w:t>
      </w:r>
    </w:p>
    <w:tbl>
      <w:tblPr>
        <w:tblStyle w:val="10"/>
        <w:tblW w:w="833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91"/>
        <w:gridCol w:w="771"/>
        <w:gridCol w:w="1290"/>
        <w:gridCol w:w="2600"/>
        <w:gridCol w:w="3182"/>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tcBorders>
              <w:tl2br w:val="nil"/>
              <w:tr2bl w:val="nil"/>
            </w:tcBorders>
            <w:vAlign w:val="center"/>
          </w:tcPr>
          <w:p>
            <w:pPr>
              <w:pStyle w:val="18"/>
              <w:rPr>
                <w:rFonts w:hint="default"/>
                <w:b/>
                <w:bCs/>
              </w:rPr>
            </w:pPr>
            <w:r>
              <w:rPr>
                <w:rFonts w:hint="default"/>
                <w:b/>
                <w:bCs/>
              </w:rPr>
              <w:t>序号</w:t>
            </w:r>
          </w:p>
        </w:tc>
        <w:tc>
          <w:tcPr>
            <w:tcW w:w="2061" w:type="dxa"/>
            <w:gridSpan w:val="2"/>
            <w:tcBorders>
              <w:tl2br w:val="nil"/>
              <w:tr2bl w:val="nil"/>
            </w:tcBorders>
            <w:vAlign w:val="center"/>
          </w:tcPr>
          <w:p>
            <w:pPr>
              <w:pStyle w:val="18"/>
              <w:rPr>
                <w:rFonts w:hint="default"/>
                <w:b/>
                <w:bCs/>
              </w:rPr>
            </w:pPr>
            <w:r>
              <w:rPr>
                <w:rFonts w:hint="default"/>
                <w:b/>
                <w:bCs/>
              </w:rPr>
              <w:t>辨识对象</w:t>
            </w:r>
          </w:p>
        </w:tc>
        <w:tc>
          <w:tcPr>
            <w:tcW w:w="2600" w:type="dxa"/>
            <w:tcBorders>
              <w:tl2br w:val="nil"/>
              <w:tr2bl w:val="nil"/>
            </w:tcBorders>
            <w:vAlign w:val="center"/>
          </w:tcPr>
          <w:p>
            <w:pPr>
              <w:pStyle w:val="18"/>
              <w:rPr>
                <w:rFonts w:hint="default"/>
                <w:b/>
                <w:bCs/>
              </w:rPr>
            </w:pPr>
            <w:r>
              <w:rPr>
                <w:rFonts w:hint="default"/>
                <w:b/>
                <w:bCs/>
              </w:rPr>
              <w:t>辨识内容</w:t>
            </w:r>
          </w:p>
        </w:tc>
        <w:tc>
          <w:tcPr>
            <w:tcW w:w="3182" w:type="dxa"/>
            <w:tcBorders>
              <w:tl2br w:val="nil"/>
              <w:tr2bl w:val="nil"/>
            </w:tcBorders>
            <w:vAlign w:val="center"/>
          </w:tcPr>
          <w:p>
            <w:pPr>
              <w:pStyle w:val="18"/>
              <w:rPr>
                <w:rFonts w:hint="default"/>
                <w:b/>
                <w:bCs/>
              </w:rPr>
            </w:pPr>
            <w:r>
              <w:rPr>
                <w:rFonts w:hint="default"/>
                <w:b/>
                <w:bCs/>
              </w:rPr>
              <w:t>辨识依据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restart"/>
            <w:tcBorders>
              <w:tl2br w:val="nil"/>
              <w:tr2bl w:val="nil"/>
            </w:tcBorders>
            <w:vAlign w:val="center"/>
          </w:tcPr>
          <w:p>
            <w:pPr>
              <w:pStyle w:val="18"/>
              <w:rPr>
                <w:rFonts w:hint="default"/>
              </w:rPr>
            </w:pPr>
            <w:r>
              <w:rPr>
                <w:rFonts w:hint="default"/>
              </w:rPr>
              <w:t>1</w:t>
            </w:r>
          </w:p>
        </w:tc>
        <w:tc>
          <w:tcPr>
            <w:tcW w:w="771" w:type="dxa"/>
            <w:vMerge w:val="restart"/>
            <w:tcBorders>
              <w:tl2br w:val="nil"/>
              <w:tr2bl w:val="nil"/>
            </w:tcBorders>
            <w:vAlign w:val="center"/>
          </w:tcPr>
          <w:p>
            <w:pPr>
              <w:pStyle w:val="18"/>
              <w:rPr>
                <w:rFonts w:hint="default"/>
              </w:rPr>
            </w:pPr>
            <w:r>
              <w:rPr>
                <w:rFonts w:hint="default"/>
                <w:lang w:val="zh-CN"/>
              </w:rPr>
              <w:t>风险物质</w:t>
            </w:r>
          </w:p>
        </w:tc>
        <w:tc>
          <w:tcPr>
            <w:tcW w:w="1290" w:type="dxa"/>
            <w:tcBorders>
              <w:tl2br w:val="nil"/>
              <w:tr2bl w:val="nil"/>
            </w:tcBorders>
            <w:vAlign w:val="center"/>
          </w:tcPr>
          <w:p>
            <w:pPr>
              <w:pStyle w:val="18"/>
              <w:rPr>
                <w:rFonts w:hint="default"/>
              </w:rPr>
            </w:pPr>
            <w:r>
              <w:rPr>
                <w:rFonts w:hint="default"/>
              </w:rPr>
              <w:t>危险化学品</w:t>
            </w:r>
          </w:p>
        </w:tc>
        <w:tc>
          <w:tcPr>
            <w:tcW w:w="2600" w:type="dxa"/>
            <w:vMerge w:val="restart"/>
            <w:tcBorders>
              <w:tl2br w:val="nil"/>
              <w:tr2bl w:val="nil"/>
            </w:tcBorders>
            <w:vAlign w:val="center"/>
          </w:tcPr>
          <w:p>
            <w:pPr>
              <w:pStyle w:val="18"/>
              <w:rPr>
                <w:rFonts w:hint="default"/>
              </w:rPr>
            </w:pPr>
            <w:r>
              <w:rPr>
                <w:rFonts w:hint="default"/>
                <w:lang w:val="zh-CN"/>
              </w:rPr>
              <w:t>主要针对</w:t>
            </w:r>
            <w:r>
              <w:rPr>
                <w:rFonts w:hint="eastAsia"/>
                <w:lang w:eastAsia="zh-CN"/>
              </w:rPr>
              <w:t>赣州经开区</w:t>
            </w:r>
            <w:r>
              <w:rPr>
                <w:rFonts w:hint="default"/>
              </w:rPr>
              <w:t>污水厂</w:t>
            </w:r>
            <w:r>
              <w:rPr>
                <w:rFonts w:hint="default"/>
                <w:lang w:val="zh-CN"/>
              </w:rPr>
              <w:t>生产过程中使用的各类化学品原辅材料、各类风险物质使用量、贮存量进行分析</w:t>
            </w:r>
          </w:p>
        </w:tc>
        <w:tc>
          <w:tcPr>
            <w:tcW w:w="3182" w:type="dxa"/>
            <w:tcBorders>
              <w:tl2br w:val="nil"/>
              <w:tr2bl w:val="nil"/>
            </w:tcBorders>
            <w:vAlign w:val="center"/>
          </w:tcPr>
          <w:p>
            <w:pPr>
              <w:pStyle w:val="18"/>
              <w:rPr>
                <w:rFonts w:hint="default"/>
              </w:rPr>
            </w:pPr>
            <w:r>
              <w:rPr>
                <w:rFonts w:hint="default"/>
              </w:rPr>
              <w:t>《危险化学品目录（2015版）》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continue"/>
            <w:tcBorders>
              <w:tl2br w:val="nil"/>
              <w:tr2bl w:val="nil"/>
            </w:tcBorders>
            <w:vAlign w:val="center"/>
          </w:tcPr>
          <w:p>
            <w:pPr>
              <w:pStyle w:val="18"/>
              <w:rPr>
                <w:rFonts w:hint="default"/>
              </w:rPr>
            </w:pPr>
          </w:p>
        </w:tc>
        <w:tc>
          <w:tcPr>
            <w:tcW w:w="771" w:type="dxa"/>
            <w:vMerge w:val="continue"/>
            <w:tcBorders>
              <w:tl2br w:val="nil"/>
              <w:tr2bl w:val="nil"/>
            </w:tcBorders>
            <w:vAlign w:val="center"/>
          </w:tcPr>
          <w:p>
            <w:pPr>
              <w:pStyle w:val="18"/>
              <w:rPr>
                <w:rFonts w:hint="default"/>
              </w:rPr>
            </w:pPr>
          </w:p>
        </w:tc>
        <w:tc>
          <w:tcPr>
            <w:tcW w:w="1290" w:type="dxa"/>
            <w:tcBorders>
              <w:tl2br w:val="nil"/>
              <w:tr2bl w:val="nil"/>
            </w:tcBorders>
            <w:vAlign w:val="center"/>
          </w:tcPr>
          <w:p>
            <w:pPr>
              <w:pStyle w:val="18"/>
              <w:rPr>
                <w:rFonts w:hint="default"/>
              </w:rPr>
            </w:pPr>
            <w:r>
              <w:rPr>
                <w:rFonts w:hint="default"/>
              </w:rPr>
              <w:t>危险废物</w:t>
            </w:r>
          </w:p>
        </w:tc>
        <w:tc>
          <w:tcPr>
            <w:tcW w:w="2600" w:type="dxa"/>
            <w:vMerge w:val="continue"/>
            <w:tcBorders>
              <w:tl2br w:val="nil"/>
              <w:tr2bl w:val="nil"/>
            </w:tcBorders>
            <w:vAlign w:val="center"/>
          </w:tcPr>
          <w:p>
            <w:pPr>
              <w:pStyle w:val="18"/>
              <w:rPr>
                <w:rFonts w:hint="default"/>
              </w:rPr>
            </w:pPr>
          </w:p>
        </w:tc>
        <w:tc>
          <w:tcPr>
            <w:tcW w:w="3182" w:type="dxa"/>
            <w:tcBorders>
              <w:tl2br w:val="nil"/>
              <w:tr2bl w:val="nil"/>
            </w:tcBorders>
            <w:vAlign w:val="center"/>
          </w:tcPr>
          <w:p>
            <w:pPr>
              <w:pStyle w:val="18"/>
              <w:rPr>
                <w:rFonts w:hint="default"/>
              </w:rPr>
            </w:pPr>
            <w:r>
              <w:rPr>
                <w:rFonts w:hint="default"/>
              </w:rPr>
              <w:t>《国家危险废物名录》（2016版）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continue"/>
            <w:tcBorders>
              <w:tl2br w:val="nil"/>
              <w:tr2bl w:val="nil"/>
            </w:tcBorders>
            <w:vAlign w:val="center"/>
          </w:tcPr>
          <w:p>
            <w:pPr>
              <w:pStyle w:val="18"/>
              <w:rPr>
                <w:rFonts w:hint="default"/>
              </w:rPr>
            </w:pPr>
          </w:p>
        </w:tc>
        <w:tc>
          <w:tcPr>
            <w:tcW w:w="771" w:type="dxa"/>
            <w:vMerge w:val="continue"/>
            <w:tcBorders>
              <w:tl2br w:val="nil"/>
              <w:tr2bl w:val="nil"/>
            </w:tcBorders>
            <w:vAlign w:val="center"/>
          </w:tcPr>
          <w:p>
            <w:pPr>
              <w:pStyle w:val="18"/>
              <w:rPr>
                <w:rFonts w:hint="default"/>
              </w:rPr>
            </w:pPr>
          </w:p>
        </w:tc>
        <w:tc>
          <w:tcPr>
            <w:tcW w:w="1290" w:type="dxa"/>
            <w:tcBorders>
              <w:tl2br w:val="nil"/>
              <w:tr2bl w:val="nil"/>
            </w:tcBorders>
            <w:vAlign w:val="center"/>
          </w:tcPr>
          <w:p>
            <w:pPr>
              <w:pStyle w:val="18"/>
              <w:rPr>
                <w:rFonts w:hint="default"/>
              </w:rPr>
            </w:pPr>
            <w:r>
              <w:rPr>
                <w:rFonts w:hint="default"/>
              </w:rPr>
              <w:t>其它化学品</w:t>
            </w:r>
          </w:p>
        </w:tc>
        <w:tc>
          <w:tcPr>
            <w:tcW w:w="2600" w:type="dxa"/>
            <w:vMerge w:val="continue"/>
            <w:tcBorders>
              <w:tl2br w:val="nil"/>
              <w:tr2bl w:val="nil"/>
            </w:tcBorders>
            <w:vAlign w:val="center"/>
          </w:tcPr>
          <w:p>
            <w:pPr>
              <w:pStyle w:val="18"/>
              <w:rPr>
                <w:rFonts w:hint="default"/>
              </w:rPr>
            </w:pPr>
          </w:p>
        </w:tc>
        <w:tc>
          <w:tcPr>
            <w:tcW w:w="3182" w:type="dxa"/>
            <w:tcBorders>
              <w:tl2br w:val="nil"/>
              <w:tr2bl w:val="nil"/>
            </w:tcBorders>
            <w:vAlign w:val="center"/>
          </w:tcPr>
          <w:p>
            <w:pPr>
              <w:pStyle w:val="18"/>
              <w:rPr>
                <w:rFonts w:hint="default"/>
              </w:rPr>
            </w:pPr>
            <w:r>
              <w:rPr>
                <w:rFonts w:hint="default"/>
              </w:rPr>
              <w:t>《化学品分类、警示标签和警示性说明安全规范》等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restart"/>
            <w:tcBorders>
              <w:tl2br w:val="nil"/>
              <w:tr2bl w:val="nil"/>
            </w:tcBorders>
            <w:vAlign w:val="center"/>
          </w:tcPr>
          <w:p>
            <w:pPr>
              <w:pStyle w:val="18"/>
              <w:rPr>
                <w:rFonts w:hint="default"/>
              </w:rPr>
            </w:pPr>
            <w:r>
              <w:rPr>
                <w:rFonts w:hint="default"/>
              </w:rPr>
              <w:t>2</w:t>
            </w:r>
          </w:p>
        </w:tc>
        <w:tc>
          <w:tcPr>
            <w:tcW w:w="771" w:type="dxa"/>
            <w:vMerge w:val="restart"/>
            <w:tcBorders>
              <w:tl2br w:val="nil"/>
              <w:tr2bl w:val="nil"/>
            </w:tcBorders>
            <w:vAlign w:val="center"/>
          </w:tcPr>
          <w:p>
            <w:pPr>
              <w:pStyle w:val="18"/>
              <w:rPr>
                <w:rFonts w:hint="default"/>
              </w:rPr>
            </w:pPr>
            <w:r>
              <w:rPr>
                <w:rFonts w:hint="default"/>
                <w:lang w:val="zh-CN"/>
              </w:rPr>
              <w:t>生产工艺和设施</w:t>
            </w:r>
          </w:p>
        </w:tc>
        <w:tc>
          <w:tcPr>
            <w:tcW w:w="1290" w:type="dxa"/>
            <w:tcBorders>
              <w:tl2br w:val="nil"/>
              <w:tr2bl w:val="nil"/>
            </w:tcBorders>
            <w:vAlign w:val="center"/>
          </w:tcPr>
          <w:p>
            <w:pPr>
              <w:pStyle w:val="18"/>
              <w:rPr>
                <w:rFonts w:hint="default"/>
              </w:rPr>
            </w:pPr>
            <w:r>
              <w:rPr>
                <w:rFonts w:hint="default"/>
              </w:rPr>
              <w:t>生产工艺</w:t>
            </w:r>
          </w:p>
        </w:tc>
        <w:tc>
          <w:tcPr>
            <w:tcW w:w="2600" w:type="dxa"/>
            <w:vMerge w:val="restart"/>
            <w:tcBorders>
              <w:tl2br w:val="nil"/>
              <w:tr2bl w:val="nil"/>
            </w:tcBorders>
            <w:vAlign w:val="center"/>
          </w:tcPr>
          <w:p>
            <w:pPr>
              <w:pStyle w:val="18"/>
              <w:rPr>
                <w:rFonts w:hint="default"/>
              </w:rPr>
            </w:pPr>
            <w:r>
              <w:rPr>
                <w:rFonts w:hint="default"/>
                <w:lang w:val="zh-CN"/>
              </w:rPr>
              <w:t>重点对生产工艺流程的各阶段进行研究，分析哪些设备、设施可能成为环境风险源</w:t>
            </w:r>
          </w:p>
        </w:tc>
        <w:tc>
          <w:tcPr>
            <w:tcW w:w="3182" w:type="dxa"/>
            <w:tcBorders>
              <w:tl2br w:val="nil"/>
              <w:tr2bl w:val="nil"/>
            </w:tcBorders>
            <w:vAlign w:val="center"/>
          </w:tcPr>
          <w:p>
            <w:pPr>
              <w:pStyle w:val="18"/>
              <w:rPr>
                <w:rFonts w:hint="default"/>
                <w:lang w:eastAsia="zh-CN"/>
              </w:rPr>
            </w:pPr>
            <w:r>
              <w:rPr>
                <w:rFonts w:hint="default"/>
                <w:lang w:eastAsia="zh-CN"/>
              </w:rPr>
              <w:t>《</w:t>
            </w:r>
            <w:r>
              <w:rPr>
                <w:rFonts w:hint="default"/>
                <w:lang w:val="en-US" w:eastAsia="zh-CN"/>
              </w:rPr>
              <w:t>企业突发环境事件风险分级方法</w:t>
            </w:r>
            <w:r>
              <w:rPr>
                <w:rFonts w:hint="default"/>
                <w:lang w:eastAsia="zh-CN"/>
              </w:rPr>
              <w:t>》（</w:t>
            </w:r>
            <w:r>
              <w:rPr>
                <w:rFonts w:hint="default"/>
                <w:lang w:val="en-US" w:eastAsia="zh-CN"/>
              </w:rPr>
              <w:t>HJ941-2018</w:t>
            </w:r>
            <w:r>
              <w:rPr>
                <w:rFonts w:hint="default"/>
                <w:lang w:eastAsia="zh-CN"/>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continue"/>
            <w:tcBorders>
              <w:tl2br w:val="nil"/>
              <w:tr2bl w:val="nil"/>
            </w:tcBorders>
            <w:vAlign w:val="center"/>
          </w:tcPr>
          <w:p>
            <w:pPr>
              <w:pStyle w:val="18"/>
              <w:rPr>
                <w:rFonts w:hint="default"/>
              </w:rPr>
            </w:pPr>
          </w:p>
        </w:tc>
        <w:tc>
          <w:tcPr>
            <w:tcW w:w="771" w:type="dxa"/>
            <w:vMerge w:val="continue"/>
            <w:tcBorders>
              <w:tl2br w:val="nil"/>
              <w:tr2bl w:val="nil"/>
            </w:tcBorders>
            <w:vAlign w:val="center"/>
          </w:tcPr>
          <w:p>
            <w:pPr>
              <w:pStyle w:val="18"/>
              <w:rPr>
                <w:rFonts w:hint="default"/>
              </w:rPr>
            </w:pPr>
          </w:p>
        </w:tc>
        <w:tc>
          <w:tcPr>
            <w:tcW w:w="1290" w:type="dxa"/>
            <w:tcBorders>
              <w:tl2br w:val="nil"/>
              <w:tr2bl w:val="nil"/>
            </w:tcBorders>
            <w:vAlign w:val="center"/>
          </w:tcPr>
          <w:p>
            <w:pPr>
              <w:pStyle w:val="18"/>
              <w:rPr>
                <w:rFonts w:hint="default"/>
              </w:rPr>
            </w:pPr>
            <w:r>
              <w:rPr>
                <w:rFonts w:hint="default"/>
              </w:rPr>
              <w:t>生产设施</w:t>
            </w:r>
          </w:p>
        </w:tc>
        <w:tc>
          <w:tcPr>
            <w:tcW w:w="2600" w:type="dxa"/>
            <w:vMerge w:val="continue"/>
            <w:tcBorders>
              <w:tl2br w:val="nil"/>
              <w:tr2bl w:val="nil"/>
            </w:tcBorders>
            <w:vAlign w:val="center"/>
          </w:tcPr>
          <w:p>
            <w:pPr>
              <w:pStyle w:val="18"/>
              <w:rPr>
                <w:rFonts w:hint="default"/>
              </w:rPr>
            </w:pPr>
          </w:p>
        </w:tc>
        <w:tc>
          <w:tcPr>
            <w:tcW w:w="3182" w:type="dxa"/>
            <w:tcBorders>
              <w:tl2br w:val="nil"/>
              <w:tr2bl w:val="nil"/>
            </w:tcBorders>
            <w:vAlign w:val="center"/>
          </w:tcPr>
          <w:p>
            <w:pPr>
              <w:pStyle w:val="18"/>
              <w:rPr>
                <w:rFonts w:hint="default"/>
              </w:rPr>
            </w:pPr>
            <w:r>
              <w:rPr>
                <w:rFonts w:hint="default"/>
              </w:rPr>
              <w:t>《关于开展重大危险源监督管理工作的指导意见》、《产业结构调整指导目录》</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410" w:hRule="atLeast"/>
        </w:trPr>
        <w:tc>
          <w:tcPr>
            <w:tcW w:w="491" w:type="dxa"/>
            <w:vMerge w:val="restart"/>
            <w:tcBorders>
              <w:tl2br w:val="nil"/>
              <w:tr2bl w:val="nil"/>
            </w:tcBorders>
            <w:vAlign w:val="center"/>
          </w:tcPr>
          <w:p>
            <w:pPr>
              <w:pStyle w:val="18"/>
              <w:rPr>
                <w:rFonts w:hint="default"/>
              </w:rPr>
            </w:pPr>
            <w:r>
              <w:rPr>
                <w:rFonts w:hint="default"/>
              </w:rPr>
              <w:t>3</w:t>
            </w:r>
          </w:p>
        </w:tc>
        <w:tc>
          <w:tcPr>
            <w:tcW w:w="771" w:type="dxa"/>
            <w:vMerge w:val="restart"/>
            <w:tcBorders>
              <w:tl2br w:val="nil"/>
              <w:tr2bl w:val="nil"/>
            </w:tcBorders>
            <w:vAlign w:val="center"/>
          </w:tcPr>
          <w:p>
            <w:pPr>
              <w:pStyle w:val="18"/>
              <w:rPr>
                <w:rFonts w:hint="default"/>
              </w:rPr>
            </w:pPr>
            <w:r>
              <w:rPr>
                <w:rFonts w:hint="default"/>
                <w:lang w:val="zh-CN"/>
              </w:rPr>
              <w:t>污染物及环保设施</w:t>
            </w:r>
          </w:p>
        </w:tc>
        <w:tc>
          <w:tcPr>
            <w:tcW w:w="1290" w:type="dxa"/>
            <w:tcBorders>
              <w:tl2br w:val="nil"/>
              <w:tr2bl w:val="nil"/>
            </w:tcBorders>
            <w:vAlign w:val="center"/>
          </w:tcPr>
          <w:p>
            <w:pPr>
              <w:pStyle w:val="18"/>
              <w:rPr>
                <w:rFonts w:hint="eastAsia" w:eastAsia="宋体"/>
                <w:lang w:val="en-US" w:eastAsia="zh-CN"/>
              </w:rPr>
            </w:pPr>
            <w:r>
              <w:rPr>
                <w:rFonts w:hint="eastAsia"/>
                <w:lang w:val="en-US" w:eastAsia="zh-CN"/>
              </w:rPr>
              <w:t>进水</w:t>
            </w:r>
          </w:p>
        </w:tc>
        <w:tc>
          <w:tcPr>
            <w:tcW w:w="2600" w:type="dxa"/>
            <w:vMerge w:val="restart"/>
            <w:tcBorders>
              <w:tl2br w:val="nil"/>
              <w:tr2bl w:val="nil"/>
            </w:tcBorders>
            <w:vAlign w:val="center"/>
          </w:tcPr>
          <w:p>
            <w:pPr>
              <w:pStyle w:val="18"/>
              <w:rPr>
                <w:rFonts w:hint="default"/>
              </w:rPr>
            </w:pPr>
            <w:r>
              <w:rPr>
                <w:rFonts w:hint="default"/>
                <w:lang w:val="zh-CN"/>
              </w:rPr>
              <w:t>对</w:t>
            </w:r>
            <w:r>
              <w:rPr>
                <w:rFonts w:hint="eastAsia"/>
                <w:lang w:eastAsia="zh-CN"/>
              </w:rPr>
              <w:t>赣州经开区</w:t>
            </w:r>
            <w:r>
              <w:rPr>
                <w:rFonts w:hint="default"/>
              </w:rPr>
              <w:t>污水厂</w:t>
            </w:r>
            <w:r>
              <w:rPr>
                <w:rFonts w:hint="default"/>
                <w:lang w:val="zh-CN"/>
              </w:rPr>
              <w:t>排放污染物的种类、产生量以及治理工艺进行分析</w:t>
            </w:r>
          </w:p>
        </w:tc>
        <w:tc>
          <w:tcPr>
            <w:tcW w:w="3182" w:type="dxa"/>
            <w:tcBorders>
              <w:tl2br w:val="nil"/>
              <w:tr2bl w:val="nil"/>
            </w:tcBorders>
            <w:vAlign w:val="center"/>
          </w:tcPr>
          <w:p>
            <w:pPr>
              <w:pStyle w:val="18"/>
              <w:rPr>
                <w:rFonts w:hint="eastAsia" w:eastAsia="宋体"/>
                <w:lang w:val="zh-CN" w:eastAsia="zh-CN"/>
              </w:rPr>
            </w:pPr>
            <w:r>
              <w:rPr>
                <w:rFonts w:hint="eastAsia"/>
              </w:rPr>
              <w:t>一类污染物</w:t>
            </w:r>
            <w:r>
              <w:rPr>
                <w:rFonts w:hint="eastAsia"/>
                <w:lang w:eastAsia="zh-CN"/>
              </w:rPr>
              <w:t>达到</w:t>
            </w:r>
            <w:r>
              <w:rPr>
                <w:rFonts w:hint="eastAsia"/>
              </w:rPr>
              <w:t>《污水综合排放标准》(GB8978-1996)表1</w:t>
            </w:r>
            <w:r>
              <w:rPr>
                <w:rFonts w:hint="eastAsia"/>
                <w:lang w:eastAsia="zh-CN"/>
              </w:rPr>
              <w:t>要求</w:t>
            </w:r>
            <w:r>
              <w:rPr>
                <w:rFonts w:hint="eastAsia"/>
                <w:lang w:val="zh-CN"/>
              </w:rPr>
              <w:t>；</w:t>
            </w:r>
            <w:r>
              <w:rPr>
                <w:rFonts w:hint="eastAsia"/>
              </w:rPr>
              <w:t>CODcr≤500mg/L，BOD</w:t>
            </w:r>
            <w:r>
              <w:rPr>
                <w:rFonts w:hint="eastAsia"/>
                <w:vertAlign w:val="subscript"/>
              </w:rPr>
              <w:t>5</w:t>
            </w:r>
            <w:r>
              <w:rPr>
                <w:rFonts w:hint="eastAsia"/>
              </w:rPr>
              <w:t>≤300mg/L，NH</w:t>
            </w:r>
            <w:r>
              <w:rPr>
                <w:rFonts w:hint="eastAsia"/>
                <w:vertAlign w:val="subscript"/>
              </w:rPr>
              <w:t>3</w:t>
            </w:r>
            <w:r>
              <w:rPr>
                <w:rFonts w:hint="eastAsia"/>
              </w:rPr>
              <w:t>-N≤50mg/L，pH、SS、TN、TP等常规指标执行《污水综合排放标准》（GB8978-1996）三级标准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continue"/>
            <w:tcBorders>
              <w:tl2br w:val="nil"/>
              <w:tr2bl w:val="nil"/>
            </w:tcBorders>
            <w:vAlign w:val="center"/>
          </w:tcPr>
          <w:p>
            <w:pPr>
              <w:pStyle w:val="18"/>
              <w:rPr>
                <w:rFonts w:hint="default"/>
              </w:rPr>
            </w:pPr>
          </w:p>
        </w:tc>
        <w:tc>
          <w:tcPr>
            <w:tcW w:w="771" w:type="dxa"/>
            <w:vMerge w:val="continue"/>
            <w:tcBorders>
              <w:tl2br w:val="nil"/>
              <w:tr2bl w:val="nil"/>
            </w:tcBorders>
            <w:vAlign w:val="center"/>
          </w:tcPr>
          <w:p>
            <w:pPr>
              <w:pStyle w:val="18"/>
              <w:rPr>
                <w:rFonts w:hint="default"/>
              </w:rPr>
            </w:pPr>
          </w:p>
        </w:tc>
        <w:tc>
          <w:tcPr>
            <w:tcW w:w="1290" w:type="dxa"/>
            <w:tcBorders>
              <w:tl2br w:val="nil"/>
              <w:tr2bl w:val="nil"/>
            </w:tcBorders>
            <w:vAlign w:val="center"/>
          </w:tcPr>
          <w:p>
            <w:pPr>
              <w:pStyle w:val="18"/>
              <w:rPr>
                <w:rFonts w:hint="default"/>
              </w:rPr>
            </w:pPr>
            <w:r>
              <w:rPr>
                <w:rFonts w:hint="default"/>
              </w:rPr>
              <w:t>废水</w:t>
            </w:r>
          </w:p>
        </w:tc>
        <w:tc>
          <w:tcPr>
            <w:tcW w:w="2600" w:type="dxa"/>
            <w:vMerge w:val="continue"/>
            <w:tcBorders>
              <w:tl2br w:val="nil"/>
              <w:tr2bl w:val="nil"/>
            </w:tcBorders>
            <w:vAlign w:val="center"/>
          </w:tcPr>
          <w:p>
            <w:pPr>
              <w:pStyle w:val="18"/>
              <w:rPr>
                <w:rFonts w:hint="default"/>
              </w:rPr>
            </w:pPr>
          </w:p>
        </w:tc>
        <w:tc>
          <w:tcPr>
            <w:tcW w:w="3182" w:type="dxa"/>
            <w:tcBorders>
              <w:tl2br w:val="nil"/>
              <w:tr2bl w:val="nil"/>
            </w:tcBorders>
            <w:vAlign w:val="center"/>
          </w:tcPr>
          <w:p>
            <w:pPr>
              <w:pStyle w:val="18"/>
              <w:rPr>
                <w:rFonts w:hint="default"/>
              </w:rPr>
            </w:pPr>
            <w:r>
              <w:rPr>
                <w:rFonts w:hint="default"/>
                <w:lang w:val="zh-CN"/>
              </w:rPr>
              <w:t>《城镇污水处理厂污染物排放标准》（GB18918-2002）一级</w:t>
            </w:r>
            <w:r>
              <w:rPr>
                <w:rFonts w:hint="eastAsia"/>
                <w:lang w:val="en-US" w:eastAsia="zh-CN"/>
              </w:rPr>
              <w:t>B</w:t>
            </w:r>
            <w:r>
              <w:rPr>
                <w:rFonts w:hint="default"/>
                <w:lang w:val="zh-CN"/>
              </w:rPr>
              <w:t>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continue"/>
            <w:tcBorders>
              <w:tl2br w:val="nil"/>
              <w:tr2bl w:val="nil"/>
            </w:tcBorders>
            <w:vAlign w:val="center"/>
          </w:tcPr>
          <w:p>
            <w:pPr>
              <w:pStyle w:val="18"/>
              <w:rPr>
                <w:rFonts w:hint="default"/>
              </w:rPr>
            </w:pPr>
          </w:p>
        </w:tc>
        <w:tc>
          <w:tcPr>
            <w:tcW w:w="771" w:type="dxa"/>
            <w:vMerge w:val="continue"/>
            <w:tcBorders>
              <w:tl2br w:val="nil"/>
              <w:tr2bl w:val="nil"/>
            </w:tcBorders>
            <w:vAlign w:val="center"/>
          </w:tcPr>
          <w:p>
            <w:pPr>
              <w:pStyle w:val="18"/>
              <w:rPr>
                <w:rFonts w:hint="default"/>
              </w:rPr>
            </w:pPr>
          </w:p>
        </w:tc>
        <w:tc>
          <w:tcPr>
            <w:tcW w:w="1290" w:type="dxa"/>
            <w:tcBorders>
              <w:tl2br w:val="nil"/>
              <w:tr2bl w:val="nil"/>
            </w:tcBorders>
            <w:vAlign w:val="center"/>
          </w:tcPr>
          <w:p>
            <w:pPr>
              <w:pStyle w:val="18"/>
              <w:rPr>
                <w:rFonts w:hint="default"/>
              </w:rPr>
            </w:pPr>
            <w:r>
              <w:rPr>
                <w:rFonts w:hint="default"/>
              </w:rPr>
              <w:t>废气</w:t>
            </w:r>
          </w:p>
        </w:tc>
        <w:tc>
          <w:tcPr>
            <w:tcW w:w="2600" w:type="dxa"/>
            <w:vMerge w:val="continue"/>
            <w:tcBorders>
              <w:tl2br w:val="nil"/>
              <w:tr2bl w:val="nil"/>
            </w:tcBorders>
            <w:vAlign w:val="center"/>
          </w:tcPr>
          <w:p>
            <w:pPr>
              <w:pStyle w:val="18"/>
              <w:rPr>
                <w:rFonts w:hint="default"/>
              </w:rPr>
            </w:pPr>
          </w:p>
        </w:tc>
        <w:tc>
          <w:tcPr>
            <w:tcW w:w="3182" w:type="dxa"/>
            <w:tcBorders>
              <w:tl2br w:val="nil"/>
              <w:tr2bl w:val="nil"/>
            </w:tcBorders>
            <w:vAlign w:val="center"/>
          </w:tcPr>
          <w:p>
            <w:pPr>
              <w:pStyle w:val="18"/>
              <w:rPr>
                <w:rFonts w:hint="default"/>
              </w:rPr>
            </w:pPr>
            <w:r>
              <w:rPr>
                <w:rFonts w:hint="default"/>
              </w:rPr>
              <w:t>《恶臭污染污染物排放标准》（GB14554-93）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vMerge w:val="continue"/>
            <w:tcBorders>
              <w:tl2br w:val="nil"/>
              <w:tr2bl w:val="nil"/>
            </w:tcBorders>
            <w:vAlign w:val="center"/>
          </w:tcPr>
          <w:p>
            <w:pPr>
              <w:pStyle w:val="18"/>
              <w:rPr>
                <w:rFonts w:hint="default"/>
              </w:rPr>
            </w:pPr>
          </w:p>
        </w:tc>
        <w:tc>
          <w:tcPr>
            <w:tcW w:w="771" w:type="dxa"/>
            <w:vMerge w:val="continue"/>
            <w:tcBorders>
              <w:tl2br w:val="nil"/>
              <w:tr2bl w:val="nil"/>
            </w:tcBorders>
            <w:vAlign w:val="center"/>
          </w:tcPr>
          <w:p>
            <w:pPr>
              <w:pStyle w:val="18"/>
              <w:rPr>
                <w:rFonts w:hint="default"/>
              </w:rPr>
            </w:pPr>
          </w:p>
        </w:tc>
        <w:tc>
          <w:tcPr>
            <w:tcW w:w="1290" w:type="dxa"/>
            <w:tcBorders>
              <w:tl2br w:val="nil"/>
              <w:tr2bl w:val="nil"/>
            </w:tcBorders>
            <w:vAlign w:val="center"/>
          </w:tcPr>
          <w:p>
            <w:pPr>
              <w:pStyle w:val="18"/>
              <w:rPr>
                <w:rFonts w:hint="default"/>
              </w:rPr>
            </w:pPr>
            <w:r>
              <w:rPr>
                <w:rFonts w:hint="default"/>
              </w:rPr>
              <w:t>固废</w:t>
            </w:r>
          </w:p>
        </w:tc>
        <w:tc>
          <w:tcPr>
            <w:tcW w:w="2600" w:type="dxa"/>
            <w:vMerge w:val="continue"/>
            <w:tcBorders>
              <w:tl2br w:val="nil"/>
              <w:tr2bl w:val="nil"/>
            </w:tcBorders>
            <w:vAlign w:val="center"/>
          </w:tcPr>
          <w:p>
            <w:pPr>
              <w:pStyle w:val="18"/>
              <w:rPr>
                <w:rFonts w:hint="default"/>
              </w:rPr>
            </w:pPr>
          </w:p>
        </w:tc>
        <w:tc>
          <w:tcPr>
            <w:tcW w:w="3182" w:type="dxa"/>
            <w:tcBorders>
              <w:tl2br w:val="nil"/>
              <w:tr2bl w:val="nil"/>
            </w:tcBorders>
            <w:vAlign w:val="center"/>
          </w:tcPr>
          <w:p>
            <w:pPr>
              <w:pStyle w:val="18"/>
              <w:rPr>
                <w:rFonts w:hint="default"/>
                <w:lang w:val="zh-CN"/>
              </w:rPr>
            </w:pPr>
            <w:r>
              <w:rPr>
                <w:rFonts w:hint="default"/>
                <w:lang w:val="zh-CN"/>
              </w:rPr>
              <w:t>污泥执行《一般工业固体废物贮存、处置场污染控制标准（GB18599-2001）及2013修改单；生活垃圾执行《生活垃圾填埋场污染控制标准》（GB16889-2008）；《城镇污水处理厂污泥处置混合填埋用泥质》（GB/T23485-2009）；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tcBorders>
              <w:tl2br w:val="nil"/>
              <w:tr2bl w:val="nil"/>
            </w:tcBorders>
            <w:vAlign w:val="center"/>
          </w:tcPr>
          <w:p>
            <w:pPr>
              <w:pStyle w:val="18"/>
              <w:rPr>
                <w:rFonts w:hint="default"/>
              </w:rPr>
            </w:pPr>
            <w:r>
              <w:rPr>
                <w:rFonts w:hint="default"/>
              </w:rPr>
              <w:t>4</w:t>
            </w:r>
          </w:p>
        </w:tc>
        <w:tc>
          <w:tcPr>
            <w:tcW w:w="2061" w:type="dxa"/>
            <w:gridSpan w:val="2"/>
            <w:tcBorders>
              <w:tl2br w:val="nil"/>
              <w:tr2bl w:val="nil"/>
            </w:tcBorders>
            <w:vAlign w:val="center"/>
          </w:tcPr>
          <w:p>
            <w:pPr>
              <w:pStyle w:val="18"/>
              <w:rPr>
                <w:rFonts w:hint="default"/>
              </w:rPr>
            </w:pPr>
            <w:r>
              <w:rPr>
                <w:rFonts w:hint="default"/>
                <w:lang w:val="zh-CN"/>
              </w:rPr>
              <w:t>风险物质运输</w:t>
            </w:r>
          </w:p>
        </w:tc>
        <w:tc>
          <w:tcPr>
            <w:tcW w:w="2600" w:type="dxa"/>
            <w:tcBorders>
              <w:tl2br w:val="nil"/>
              <w:tr2bl w:val="nil"/>
            </w:tcBorders>
            <w:vAlign w:val="center"/>
          </w:tcPr>
          <w:p>
            <w:pPr>
              <w:pStyle w:val="18"/>
              <w:rPr>
                <w:rFonts w:hint="default"/>
                <w:lang w:val="zh-CN"/>
              </w:rPr>
            </w:pPr>
            <w:r>
              <w:rPr>
                <w:rFonts w:hint="default"/>
              </w:rPr>
              <w:t>对</w:t>
            </w:r>
            <w:r>
              <w:rPr>
                <w:rFonts w:hint="eastAsia"/>
                <w:lang w:eastAsia="zh-CN"/>
              </w:rPr>
              <w:t>赣州经开区</w:t>
            </w:r>
            <w:r>
              <w:rPr>
                <w:rFonts w:hint="default"/>
              </w:rPr>
              <w:t>污水厂产生的污泥、危险化学品在污水处理厂内运输、装卸相关风险进行调查、识别</w:t>
            </w:r>
          </w:p>
        </w:tc>
        <w:tc>
          <w:tcPr>
            <w:tcW w:w="3182" w:type="dxa"/>
            <w:tcBorders>
              <w:tl2br w:val="nil"/>
              <w:tr2bl w:val="nil"/>
            </w:tcBorders>
            <w:vAlign w:val="center"/>
          </w:tcPr>
          <w:p>
            <w:pPr>
              <w:pStyle w:val="18"/>
              <w:rPr>
                <w:rFonts w:hint="default"/>
              </w:rPr>
            </w:pPr>
            <w:r>
              <w:rPr>
                <w:rFonts w:hint="default"/>
              </w:rPr>
              <w:t>《危险化学品安全管理条例》（ 国务院令第591号）、《危险废物收集、贮存、运输技术规范》（HJ2025-2012）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491" w:type="dxa"/>
            <w:tcBorders>
              <w:tl2br w:val="nil"/>
              <w:tr2bl w:val="nil"/>
            </w:tcBorders>
            <w:vAlign w:val="center"/>
          </w:tcPr>
          <w:p>
            <w:pPr>
              <w:pStyle w:val="18"/>
              <w:rPr>
                <w:rFonts w:hint="default"/>
                <w:lang w:val="en-US" w:eastAsia="zh-CN"/>
              </w:rPr>
            </w:pPr>
            <w:r>
              <w:rPr>
                <w:rFonts w:hint="eastAsia"/>
                <w:lang w:val="en-US" w:eastAsia="zh-CN"/>
              </w:rPr>
              <w:t>6</w:t>
            </w:r>
          </w:p>
        </w:tc>
        <w:tc>
          <w:tcPr>
            <w:tcW w:w="2061" w:type="dxa"/>
            <w:gridSpan w:val="2"/>
            <w:tcBorders>
              <w:tl2br w:val="nil"/>
              <w:tr2bl w:val="nil"/>
            </w:tcBorders>
            <w:vAlign w:val="center"/>
          </w:tcPr>
          <w:p>
            <w:pPr>
              <w:pStyle w:val="18"/>
              <w:rPr>
                <w:rFonts w:hint="default"/>
                <w:lang w:val="en-US" w:eastAsia="zh-CN"/>
              </w:rPr>
            </w:pPr>
            <w:r>
              <w:rPr>
                <w:rFonts w:hint="default"/>
                <w:lang w:val="en-US" w:eastAsia="zh-CN"/>
              </w:rPr>
              <w:t>公用及辅助工程</w:t>
            </w:r>
          </w:p>
        </w:tc>
        <w:tc>
          <w:tcPr>
            <w:tcW w:w="2600" w:type="dxa"/>
            <w:tcBorders>
              <w:tl2br w:val="nil"/>
              <w:tr2bl w:val="nil"/>
            </w:tcBorders>
            <w:vAlign w:val="center"/>
          </w:tcPr>
          <w:p>
            <w:pPr>
              <w:pStyle w:val="18"/>
              <w:rPr>
                <w:rFonts w:hint="default"/>
                <w:lang w:val="en-US" w:eastAsia="zh-CN"/>
              </w:rPr>
            </w:pPr>
            <w:r>
              <w:rPr>
                <w:rFonts w:hint="default"/>
                <w:lang w:val="en-US" w:eastAsia="zh-CN"/>
              </w:rPr>
              <w:t>对</w:t>
            </w:r>
            <w:r>
              <w:rPr>
                <w:rFonts w:hint="eastAsia"/>
                <w:lang w:eastAsia="zh-CN"/>
              </w:rPr>
              <w:t>赣州经开区</w:t>
            </w:r>
            <w:r>
              <w:rPr>
                <w:rFonts w:hint="default"/>
                <w:lang w:val="en-US" w:eastAsia="zh-CN"/>
              </w:rPr>
              <w:t>给排水、电器、自控、通风等设施进行分析</w:t>
            </w:r>
          </w:p>
        </w:tc>
        <w:tc>
          <w:tcPr>
            <w:tcW w:w="3182" w:type="dxa"/>
            <w:tcBorders>
              <w:tl2br w:val="nil"/>
              <w:tr2bl w:val="nil"/>
            </w:tcBorders>
            <w:vAlign w:val="center"/>
          </w:tcPr>
          <w:p>
            <w:pPr>
              <w:pStyle w:val="18"/>
              <w:rPr>
                <w:rFonts w:hint="default"/>
                <w:lang w:val="en-US" w:eastAsia="zh-CN"/>
              </w:rPr>
            </w:pPr>
            <w:r>
              <w:rPr>
                <w:rFonts w:hint="default"/>
                <w:lang w:val="en-US" w:eastAsia="zh-CN"/>
              </w:rPr>
              <w:t>/</w:t>
            </w:r>
          </w:p>
        </w:tc>
      </w:tr>
    </w:tbl>
    <w:p>
      <w:pPr>
        <w:pStyle w:val="21"/>
        <w:rPr>
          <w:rFonts w:hint="default" w:ascii="Times New Roman" w:hAnsi="Times New Roman" w:cs="Times New Roman"/>
          <w:color w:val="auto"/>
          <w:highlight w:val="none"/>
          <w:u w:val="none"/>
        </w:rPr>
      </w:pPr>
      <w:bookmarkStart w:id="198" w:name="_Toc20041"/>
      <w:bookmarkStart w:id="199" w:name="_Toc9945_WPSOffice_Level2"/>
      <w:bookmarkStart w:id="200" w:name="_Toc23052"/>
      <w:bookmarkStart w:id="201" w:name="_Toc18154_WPSOffice_Level2"/>
      <w:bookmarkStart w:id="202" w:name="_Toc12767"/>
      <w:r>
        <w:rPr>
          <w:rFonts w:hint="eastAsia" w:hAnsi="Times New Roman" w:cs="Times New Roman"/>
          <w:color w:val="auto"/>
          <w:highlight w:val="none"/>
          <w:u w:val="none"/>
          <w:lang w:val="en-US" w:eastAsia="zh-CN"/>
        </w:rPr>
        <w:t>3.1.1</w:t>
      </w:r>
      <w:r>
        <w:rPr>
          <w:rFonts w:hint="default" w:ascii="Times New Roman" w:hAnsi="Times New Roman" w:cs="Times New Roman"/>
          <w:color w:val="auto"/>
          <w:highlight w:val="none"/>
          <w:u w:val="none"/>
        </w:rPr>
        <w:t>风险物质识别</w:t>
      </w:r>
      <w:bookmarkEnd w:id="198"/>
      <w:bookmarkEnd w:id="199"/>
      <w:bookmarkEnd w:id="200"/>
      <w:bookmarkEnd w:id="201"/>
      <w:bookmarkEnd w:id="202"/>
    </w:p>
    <w:p>
      <w:pPr>
        <w:pStyle w:val="14"/>
        <w:rPr>
          <w:rFonts w:hint="default"/>
        </w:rPr>
      </w:pPr>
      <w:r>
        <w:rPr>
          <w:rFonts w:hint="default"/>
        </w:rPr>
        <w:t>根据《建设项目环境风险评价技术导则》（HJ/T169-2004）规定，环境风险物质识别的范围为：主要原材料及辅助材料、燃料、中间产品、最终产品以及生产过程排放的“三废”污染物等。</w:t>
      </w:r>
    </w:p>
    <w:p>
      <w:pPr>
        <w:pStyle w:val="14"/>
        <w:rPr>
          <w:rFonts w:hint="default"/>
        </w:rPr>
      </w:pPr>
      <w:r>
        <w:rPr>
          <w:rFonts w:hint="default"/>
        </w:rPr>
        <w:t>根据</w:t>
      </w:r>
      <w:r>
        <w:rPr>
          <w:rFonts w:hint="eastAsia"/>
          <w:lang w:eastAsia="zh-CN"/>
        </w:rPr>
        <w:t>赣州经开区污水处理厂</w:t>
      </w:r>
      <w:r>
        <w:rPr>
          <w:rFonts w:hint="default"/>
        </w:rPr>
        <w:t>原辅材料情况，</w:t>
      </w:r>
      <w:r>
        <w:rPr>
          <w:rFonts w:hint="eastAsia"/>
          <w:lang w:eastAsia="zh-CN"/>
        </w:rPr>
        <w:t>生产过程中所使用的风险物质及临界量详见下表</w:t>
      </w:r>
      <w:r>
        <w:rPr>
          <w:rFonts w:hint="default"/>
        </w:rPr>
        <w:t>。</w:t>
      </w:r>
    </w:p>
    <w:p>
      <w:pPr>
        <w:pStyle w:val="16"/>
        <w:rPr>
          <w:rFonts w:hint="default"/>
        </w:rPr>
      </w:pPr>
      <w:r>
        <w:rPr>
          <w:rFonts w:hint="default"/>
        </w:rPr>
        <w:t xml:space="preserve">表3.1-2  </w:t>
      </w:r>
      <w:r>
        <w:rPr>
          <w:rFonts w:hint="eastAsia"/>
          <w:lang w:eastAsia="zh-CN"/>
        </w:rPr>
        <w:t>赣州经开区污水处理厂风险物质</w:t>
      </w:r>
      <w:r>
        <w:rPr>
          <w:rFonts w:hint="default"/>
        </w:rPr>
        <w:t>及</w:t>
      </w:r>
      <w:r>
        <w:rPr>
          <w:rFonts w:hint="eastAsia"/>
          <w:lang w:eastAsia="zh-CN"/>
        </w:rPr>
        <w:t>临界量计算</w:t>
      </w:r>
      <w:r>
        <w:rPr>
          <w:rFonts w:hint="default"/>
        </w:rPr>
        <w:t>一览表</w:t>
      </w:r>
    </w:p>
    <w:tbl>
      <w:tblPr>
        <w:tblStyle w:val="10"/>
        <w:tblW w:w="8334" w:type="dxa"/>
        <w:jc w:val="center"/>
        <w:tblInd w:w="-113"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
      <w:tblGrid>
        <w:gridCol w:w="609"/>
        <w:gridCol w:w="1087"/>
        <w:gridCol w:w="1287"/>
        <w:gridCol w:w="1513"/>
        <w:gridCol w:w="1325"/>
        <w:gridCol w:w="1275"/>
        <w:gridCol w:w="1238"/>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Ex>
        <w:trPr>
          <w:trHeight w:val="397" w:hRule="atLeast"/>
          <w:tblHeader/>
          <w:jc w:val="center"/>
        </w:trPr>
        <w:tc>
          <w:tcPr>
            <w:tcW w:w="609" w:type="dxa"/>
            <w:tcBorders>
              <w:tl2br w:val="nil"/>
              <w:tr2bl w:val="nil"/>
            </w:tcBorders>
            <w:vAlign w:val="center"/>
          </w:tcPr>
          <w:p>
            <w:pPr>
              <w:pStyle w:val="18"/>
              <w:rPr>
                <w:rFonts w:hint="default"/>
                <w:lang w:val="en-US" w:eastAsia="zh-CN"/>
              </w:rPr>
            </w:pPr>
            <w:r>
              <w:rPr>
                <w:rFonts w:hint="default"/>
                <w:lang w:val="en-US" w:eastAsia="zh-CN"/>
              </w:rPr>
              <w:t>序号</w:t>
            </w:r>
          </w:p>
        </w:tc>
        <w:tc>
          <w:tcPr>
            <w:tcW w:w="1087" w:type="dxa"/>
            <w:tcBorders>
              <w:tl2br w:val="nil"/>
              <w:tr2bl w:val="nil"/>
            </w:tcBorders>
            <w:vAlign w:val="center"/>
          </w:tcPr>
          <w:p>
            <w:pPr>
              <w:pStyle w:val="18"/>
              <w:rPr>
                <w:rFonts w:hint="default"/>
                <w:lang w:val="en-US" w:eastAsia="zh-CN"/>
              </w:rPr>
            </w:pPr>
            <w:r>
              <w:rPr>
                <w:rFonts w:hint="default"/>
                <w:lang w:val="en-US" w:eastAsia="zh-CN"/>
              </w:rPr>
              <w:t>名称</w:t>
            </w:r>
          </w:p>
        </w:tc>
        <w:tc>
          <w:tcPr>
            <w:tcW w:w="1287" w:type="dxa"/>
            <w:tcBorders>
              <w:tl2br w:val="nil"/>
              <w:tr2bl w:val="nil"/>
            </w:tcBorders>
            <w:vAlign w:val="center"/>
          </w:tcPr>
          <w:p>
            <w:pPr>
              <w:pStyle w:val="18"/>
              <w:rPr>
                <w:rFonts w:hint="default"/>
                <w:lang w:val="en-US" w:eastAsia="zh-CN"/>
              </w:rPr>
            </w:pPr>
            <w:r>
              <w:rPr>
                <w:rFonts w:hint="default"/>
                <w:lang w:val="en-US" w:eastAsia="zh-CN"/>
              </w:rPr>
              <w:t>危险类别</w:t>
            </w:r>
          </w:p>
        </w:tc>
        <w:tc>
          <w:tcPr>
            <w:tcW w:w="1513" w:type="dxa"/>
            <w:tcBorders>
              <w:tl2br w:val="nil"/>
              <w:tr2bl w:val="nil"/>
            </w:tcBorders>
            <w:vAlign w:val="center"/>
          </w:tcPr>
          <w:p>
            <w:pPr>
              <w:pStyle w:val="18"/>
              <w:rPr>
                <w:rFonts w:hint="default"/>
                <w:lang w:val="en-US" w:eastAsia="zh-CN"/>
              </w:rPr>
            </w:pPr>
            <w:r>
              <w:rPr>
                <w:rFonts w:hint="default"/>
                <w:lang w:val="en-US" w:eastAsia="zh-CN"/>
              </w:rPr>
              <w:t>贮存方式、位置</w:t>
            </w:r>
          </w:p>
        </w:tc>
        <w:tc>
          <w:tcPr>
            <w:tcW w:w="1325" w:type="dxa"/>
            <w:tcBorders>
              <w:tl2br w:val="nil"/>
              <w:tr2bl w:val="nil"/>
            </w:tcBorders>
            <w:vAlign w:val="center"/>
          </w:tcPr>
          <w:p>
            <w:pPr>
              <w:pStyle w:val="18"/>
              <w:rPr>
                <w:rFonts w:hint="default"/>
                <w:lang w:val="en-US" w:eastAsia="zh-CN"/>
              </w:rPr>
            </w:pPr>
            <w:r>
              <w:rPr>
                <w:rFonts w:hint="eastAsia"/>
                <w:lang w:val="en-US" w:eastAsia="zh-CN"/>
              </w:rPr>
              <w:t>最大储存量（t）</w:t>
            </w:r>
          </w:p>
        </w:tc>
        <w:tc>
          <w:tcPr>
            <w:tcW w:w="1275" w:type="dxa"/>
            <w:tcBorders>
              <w:tl2br w:val="nil"/>
              <w:tr2bl w:val="nil"/>
            </w:tcBorders>
            <w:vAlign w:val="center"/>
          </w:tcPr>
          <w:p>
            <w:pPr>
              <w:pStyle w:val="18"/>
              <w:rPr>
                <w:rFonts w:hint="default"/>
                <w:lang w:val="en-US" w:eastAsia="zh-CN"/>
              </w:rPr>
            </w:pPr>
            <w:r>
              <w:rPr>
                <w:rFonts w:hint="default"/>
                <w:lang w:val="en-US" w:eastAsia="zh-CN"/>
              </w:rPr>
              <w:t>临界量</w:t>
            </w:r>
          </w:p>
          <w:p>
            <w:pPr>
              <w:pStyle w:val="18"/>
              <w:rPr>
                <w:rFonts w:hint="default"/>
                <w:lang w:val="de-DE" w:eastAsia="zh-CN"/>
              </w:rPr>
            </w:pPr>
            <w:r>
              <w:rPr>
                <w:rFonts w:hint="default"/>
                <w:lang w:val="en-US" w:eastAsia="zh-CN"/>
              </w:rPr>
              <w:t>Q</w:t>
            </w:r>
            <w:r>
              <w:rPr>
                <w:rFonts w:hint="eastAsia"/>
                <w:lang w:val="en-US" w:eastAsia="zh-CN"/>
              </w:rPr>
              <w:t>（t）</w:t>
            </w:r>
          </w:p>
        </w:tc>
        <w:tc>
          <w:tcPr>
            <w:tcW w:w="1238" w:type="dxa"/>
            <w:tcBorders>
              <w:tl2br w:val="nil"/>
              <w:tr2bl w:val="nil"/>
            </w:tcBorders>
            <w:vAlign w:val="center"/>
          </w:tcPr>
          <w:p>
            <w:pPr>
              <w:pStyle w:val="18"/>
              <w:rPr>
                <w:rFonts w:hint="default"/>
                <w:lang w:val="en-US" w:eastAsia="zh-CN"/>
              </w:rPr>
            </w:pPr>
            <w:r>
              <w:rPr>
                <w:rFonts w:hint="default"/>
                <w:lang w:val="en-US" w:eastAsia="zh-CN"/>
              </w:rPr>
              <w:t>w/Q</w:t>
            </w:r>
            <w:r>
              <w:rPr>
                <w:rFonts w:hint="default"/>
                <w:lang w:val="en-US" w:eastAsia="zh-CN"/>
              </w:rPr>
              <w:fldChar w:fldCharType="begin"/>
            </w:r>
            <w:r>
              <w:rPr>
                <w:rFonts w:hint="default"/>
                <w:lang w:val="en-US" w:eastAsia="zh-CN"/>
              </w:rPr>
              <w:instrText xml:space="preserve"> = 2 \* GB3 </w:instrText>
            </w:r>
            <w:r>
              <w:rPr>
                <w:rFonts w:hint="default"/>
                <w:lang w:val="en-US" w:eastAsia="zh-CN"/>
              </w:rPr>
              <w:fldChar w:fldCharType="separate"/>
            </w:r>
            <w:r>
              <w:rPr>
                <w:rFonts w:hint="default"/>
                <w:lang w:val="en-US" w:eastAsia="zh-CN"/>
              </w:rPr>
              <w:t>②</w:t>
            </w:r>
            <w:r>
              <w:rPr>
                <w:rFonts w:hint="default"/>
                <w:lang w:val="en-US" w:eastAsia="zh-CN"/>
              </w:rPr>
              <w:fldChar w:fldCharType="end"/>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Ex>
        <w:trPr>
          <w:trHeight w:val="397" w:hRule="atLeast"/>
          <w:jc w:val="center"/>
        </w:trPr>
        <w:tc>
          <w:tcPr>
            <w:tcW w:w="609" w:type="dxa"/>
            <w:tcBorders>
              <w:tl2br w:val="nil"/>
              <w:tr2bl w:val="nil"/>
            </w:tcBorders>
            <w:vAlign w:val="center"/>
          </w:tcPr>
          <w:p>
            <w:pPr>
              <w:pStyle w:val="18"/>
              <w:ind w:firstLine="0" w:firstLineChars="0"/>
              <w:rPr>
                <w:rFonts w:hint="default"/>
                <w:lang w:val="en-US" w:eastAsia="zh-CN"/>
              </w:rPr>
            </w:pPr>
            <w:r>
              <w:rPr>
                <w:rFonts w:hint="eastAsia"/>
                <w:lang w:val="en-US" w:eastAsia="zh-CN"/>
              </w:rPr>
              <w:t>1</w:t>
            </w:r>
          </w:p>
        </w:tc>
        <w:tc>
          <w:tcPr>
            <w:tcW w:w="1087" w:type="dxa"/>
            <w:tcBorders>
              <w:tl2br w:val="nil"/>
              <w:tr2bl w:val="nil"/>
            </w:tcBorders>
            <w:vAlign w:val="center"/>
          </w:tcPr>
          <w:p>
            <w:pPr>
              <w:pStyle w:val="18"/>
              <w:ind w:firstLine="0" w:firstLineChars="0"/>
              <w:rPr>
                <w:rFonts w:hint="default"/>
                <w:lang w:val="en-US" w:eastAsia="zh-CN"/>
              </w:rPr>
            </w:pPr>
            <w:r>
              <w:rPr>
                <w:rFonts w:hint="eastAsia"/>
                <w:lang w:eastAsia="zh-CN"/>
              </w:rPr>
              <w:t>乙醇</w:t>
            </w:r>
          </w:p>
        </w:tc>
        <w:tc>
          <w:tcPr>
            <w:tcW w:w="1287" w:type="dxa"/>
            <w:tcBorders>
              <w:tl2br w:val="nil"/>
              <w:tr2bl w:val="nil"/>
            </w:tcBorders>
            <w:vAlign w:val="center"/>
          </w:tcPr>
          <w:p>
            <w:pPr>
              <w:pStyle w:val="18"/>
              <w:rPr>
                <w:rFonts w:hint="default"/>
                <w:lang w:val="en-US" w:eastAsia="zh-CN"/>
              </w:rPr>
            </w:pPr>
            <w:r>
              <w:rPr>
                <w:rFonts w:hint="eastAsia"/>
                <w:lang w:val="en-US" w:eastAsia="zh-CN"/>
              </w:rPr>
              <w:t>易燃</w:t>
            </w:r>
            <w:r>
              <w:rPr>
                <w:rFonts w:hint="default"/>
                <w:lang w:val="en-US" w:eastAsia="zh-CN"/>
              </w:rPr>
              <w:t>性</w:t>
            </w:r>
          </w:p>
        </w:tc>
        <w:tc>
          <w:tcPr>
            <w:tcW w:w="1513" w:type="dxa"/>
            <w:tcBorders>
              <w:tl2br w:val="nil"/>
              <w:tr2bl w:val="nil"/>
            </w:tcBorders>
            <w:vAlign w:val="center"/>
          </w:tcPr>
          <w:p>
            <w:pPr>
              <w:pStyle w:val="18"/>
              <w:rPr>
                <w:rFonts w:hint="default"/>
                <w:lang w:val="en-US" w:eastAsia="zh-CN"/>
              </w:rPr>
            </w:pPr>
            <w:r>
              <w:rPr>
                <w:rFonts w:hint="default"/>
                <w:lang w:val="en-US" w:eastAsia="zh-CN"/>
              </w:rPr>
              <w:t>瓶装，试剂柜</w:t>
            </w:r>
          </w:p>
        </w:tc>
        <w:tc>
          <w:tcPr>
            <w:tcW w:w="1325" w:type="dxa"/>
            <w:tcBorders>
              <w:tl2br w:val="nil"/>
              <w:tr2bl w:val="nil"/>
            </w:tcBorders>
            <w:vAlign w:val="center"/>
          </w:tcPr>
          <w:p>
            <w:pPr>
              <w:pStyle w:val="18"/>
              <w:ind w:firstLine="0" w:firstLineChars="0"/>
              <w:rPr>
                <w:rFonts w:hint="default"/>
              </w:rPr>
            </w:pPr>
            <w:r>
              <w:rPr>
                <w:rFonts w:hint="eastAsia"/>
                <w:lang w:val="en-US" w:eastAsia="zh-CN"/>
              </w:rPr>
              <w:t>0.002</w:t>
            </w:r>
          </w:p>
        </w:tc>
        <w:tc>
          <w:tcPr>
            <w:tcW w:w="1275" w:type="dxa"/>
            <w:tcBorders>
              <w:tl2br w:val="nil"/>
              <w:tr2bl w:val="nil"/>
            </w:tcBorders>
            <w:vAlign w:val="center"/>
          </w:tcPr>
          <w:p>
            <w:pPr>
              <w:pStyle w:val="18"/>
              <w:ind w:firstLine="0" w:firstLineChars="0"/>
              <w:rPr>
                <w:rFonts w:hint="default"/>
                <w:lang w:val="en-US" w:eastAsia="zh-CN"/>
              </w:rPr>
            </w:pPr>
            <w:r>
              <w:rPr>
                <w:rFonts w:hint="eastAsia"/>
                <w:lang w:val="en-US" w:eastAsia="zh-CN"/>
              </w:rPr>
              <w:t>500</w:t>
            </w:r>
          </w:p>
        </w:tc>
        <w:tc>
          <w:tcPr>
            <w:tcW w:w="1238" w:type="dxa"/>
            <w:tcBorders>
              <w:tl2br w:val="nil"/>
              <w:tr2bl w:val="nil"/>
            </w:tcBorders>
            <w:vAlign w:val="center"/>
          </w:tcPr>
          <w:p>
            <w:pPr>
              <w:pStyle w:val="18"/>
              <w:ind w:firstLine="0" w:firstLineChars="0"/>
              <w:rPr>
                <w:rFonts w:hint="default"/>
                <w:lang w:val="en-US" w:eastAsia="zh-CN"/>
              </w:rPr>
            </w:pPr>
            <w:r>
              <w:rPr>
                <w:rFonts w:hint="eastAsia"/>
                <w:lang w:val="en-US" w:eastAsia="zh-CN"/>
              </w:rPr>
              <w:t>0.000004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Ex>
        <w:trPr>
          <w:trHeight w:val="397" w:hRule="atLeast"/>
          <w:jc w:val="center"/>
        </w:trPr>
        <w:tc>
          <w:tcPr>
            <w:tcW w:w="609" w:type="dxa"/>
            <w:tcBorders>
              <w:tl2br w:val="nil"/>
              <w:tr2bl w:val="nil"/>
            </w:tcBorders>
            <w:vAlign w:val="center"/>
          </w:tcPr>
          <w:p>
            <w:pPr>
              <w:pStyle w:val="18"/>
              <w:ind w:firstLine="0" w:firstLineChars="0"/>
              <w:rPr>
                <w:rFonts w:hint="default"/>
                <w:lang w:eastAsia="zh-CN"/>
              </w:rPr>
            </w:pPr>
            <w:r>
              <w:rPr>
                <w:rFonts w:hint="eastAsia"/>
                <w:lang w:val="en-US" w:eastAsia="zh-CN"/>
              </w:rPr>
              <w:t>2</w:t>
            </w:r>
          </w:p>
        </w:tc>
        <w:tc>
          <w:tcPr>
            <w:tcW w:w="1087" w:type="dxa"/>
            <w:tcBorders>
              <w:tl2br w:val="nil"/>
              <w:tr2bl w:val="nil"/>
            </w:tcBorders>
            <w:vAlign w:val="center"/>
          </w:tcPr>
          <w:p>
            <w:pPr>
              <w:pStyle w:val="18"/>
              <w:ind w:firstLine="0" w:firstLineChars="0"/>
              <w:rPr>
                <w:rFonts w:hint="default"/>
                <w:lang w:eastAsia="zh-CN"/>
              </w:rPr>
            </w:pPr>
            <w:r>
              <w:rPr>
                <w:rFonts w:hint="eastAsia"/>
                <w:lang w:eastAsia="zh-CN"/>
              </w:rPr>
              <w:t>氨水</w:t>
            </w:r>
          </w:p>
        </w:tc>
        <w:tc>
          <w:tcPr>
            <w:tcW w:w="1287" w:type="dxa"/>
            <w:tcBorders>
              <w:tl2br w:val="nil"/>
              <w:tr2bl w:val="nil"/>
            </w:tcBorders>
            <w:vAlign w:val="center"/>
          </w:tcPr>
          <w:p>
            <w:pPr>
              <w:pStyle w:val="18"/>
              <w:rPr>
                <w:rFonts w:hint="eastAsia" w:eastAsia="宋体"/>
                <w:lang w:val="en-US" w:eastAsia="zh-CN"/>
              </w:rPr>
            </w:pPr>
            <w:r>
              <w:rPr>
                <w:rFonts w:hint="eastAsia"/>
                <w:lang w:eastAsia="zh-CN"/>
              </w:rPr>
              <w:t>毒性</w:t>
            </w:r>
          </w:p>
        </w:tc>
        <w:tc>
          <w:tcPr>
            <w:tcW w:w="1513" w:type="dxa"/>
            <w:tcBorders>
              <w:tl2br w:val="nil"/>
              <w:tr2bl w:val="nil"/>
            </w:tcBorders>
            <w:vAlign w:val="center"/>
          </w:tcPr>
          <w:p>
            <w:pPr>
              <w:pStyle w:val="18"/>
              <w:rPr>
                <w:rFonts w:hint="default"/>
                <w:lang w:eastAsia="zh-CN"/>
              </w:rPr>
            </w:pPr>
            <w:r>
              <w:rPr>
                <w:rFonts w:hint="default"/>
                <w:lang w:val="en-US" w:eastAsia="zh-CN"/>
              </w:rPr>
              <w:t>瓶装，试剂柜</w:t>
            </w:r>
          </w:p>
        </w:tc>
        <w:tc>
          <w:tcPr>
            <w:tcW w:w="1325" w:type="dxa"/>
            <w:tcBorders>
              <w:tl2br w:val="nil"/>
              <w:tr2bl w:val="nil"/>
            </w:tcBorders>
            <w:vAlign w:val="center"/>
          </w:tcPr>
          <w:p>
            <w:pPr>
              <w:pStyle w:val="18"/>
              <w:ind w:firstLine="0" w:firstLineChars="0"/>
              <w:rPr>
                <w:rFonts w:hint="default"/>
                <w:lang w:val="en-US" w:eastAsia="zh-CN"/>
              </w:rPr>
            </w:pPr>
            <w:r>
              <w:rPr>
                <w:rFonts w:hint="eastAsia"/>
                <w:lang w:val="en-US" w:eastAsia="zh-CN"/>
              </w:rPr>
              <w:t>0.0005</w:t>
            </w:r>
          </w:p>
        </w:tc>
        <w:tc>
          <w:tcPr>
            <w:tcW w:w="1275" w:type="dxa"/>
            <w:tcBorders>
              <w:tl2br w:val="nil"/>
              <w:tr2bl w:val="nil"/>
            </w:tcBorders>
            <w:vAlign w:val="center"/>
          </w:tcPr>
          <w:p>
            <w:pPr>
              <w:pStyle w:val="18"/>
              <w:ind w:firstLine="0" w:firstLineChars="0"/>
              <w:rPr>
                <w:rFonts w:hint="default"/>
                <w:lang w:val="en-US"/>
              </w:rPr>
            </w:pPr>
            <w:r>
              <w:rPr>
                <w:rFonts w:hint="eastAsia"/>
                <w:lang w:val="en-US" w:eastAsia="zh-CN"/>
              </w:rPr>
              <w:t>10</w:t>
            </w:r>
          </w:p>
        </w:tc>
        <w:tc>
          <w:tcPr>
            <w:tcW w:w="1238" w:type="dxa"/>
            <w:tcBorders>
              <w:tl2br w:val="nil"/>
              <w:tr2bl w:val="nil"/>
            </w:tcBorders>
            <w:vAlign w:val="center"/>
          </w:tcPr>
          <w:p>
            <w:pPr>
              <w:pStyle w:val="18"/>
              <w:ind w:firstLine="0" w:firstLineChars="0"/>
              <w:rPr>
                <w:rFonts w:hint="default"/>
                <w:lang w:val="en-US" w:eastAsia="zh-CN"/>
              </w:rPr>
            </w:pPr>
            <w:r>
              <w:rPr>
                <w:rFonts w:hint="eastAsia"/>
                <w:lang w:val="en-US" w:eastAsia="zh-CN"/>
              </w:rPr>
              <w:t>0.00005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Ex>
        <w:trPr>
          <w:trHeight w:val="397" w:hRule="atLeast"/>
          <w:jc w:val="center"/>
        </w:trPr>
        <w:tc>
          <w:tcPr>
            <w:tcW w:w="609" w:type="dxa"/>
            <w:tcBorders>
              <w:tl2br w:val="nil"/>
              <w:tr2bl w:val="nil"/>
            </w:tcBorders>
            <w:vAlign w:val="center"/>
          </w:tcPr>
          <w:p>
            <w:pPr>
              <w:pStyle w:val="18"/>
              <w:ind w:firstLine="0" w:firstLineChars="0"/>
              <w:rPr>
                <w:rFonts w:hint="default"/>
                <w:lang w:val="en-US" w:eastAsia="zh-CN"/>
              </w:rPr>
            </w:pPr>
            <w:r>
              <w:rPr>
                <w:rFonts w:hint="eastAsia"/>
                <w:lang w:val="en-US" w:eastAsia="zh-CN"/>
              </w:rPr>
              <w:t>3</w:t>
            </w:r>
          </w:p>
        </w:tc>
        <w:tc>
          <w:tcPr>
            <w:tcW w:w="1087" w:type="dxa"/>
            <w:tcBorders>
              <w:tl2br w:val="nil"/>
              <w:tr2bl w:val="nil"/>
            </w:tcBorders>
            <w:vAlign w:val="center"/>
          </w:tcPr>
          <w:p>
            <w:pPr>
              <w:pStyle w:val="18"/>
              <w:ind w:firstLine="0" w:firstLineChars="0"/>
              <w:rPr>
                <w:rFonts w:hint="eastAsia"/>
                <w:lang w:val="en-US" w:eastAsia="zh-CN"/>
              </w:rPr>
            </w:pPr>
            <w:r>
              <w:rPr>
                <w:rFonts w:hint="eastAsia"/>
                <w:lang w:eastAsia="zh-CN"/>
              </w:rPr>
              <w:t>硝酸</w:t>
            </w:r>
          </w:p>
        </w:tc>
        <w:tc>
          <w:tcPr>
            <w:tcW w:w="1287" w:type="dxa"/>
            <w:tcBorders>
              <w:tl2br w:val="nil"/>
              <w:tr2bl w:val="nil"/>
            </w:tcBorders>
            <w:vAlign w:val="center"/>
          </w:tcPr>
          <w:p>
            <w:pPr>
              <w:pStyle w:val="18"/>
              <w:rPr>
                <w:rFonts w:hint="default"/>
                <w:lang w:val="en-US" w:eastAsia="zh-CN"/>
              </w:rPr>
            </w:pPr>
            <w:r>
              <w:rPr>
                <w:rFonts w:hint="default"/>
                <w:lang w:val="en-US" w:eastAsia="zh-CN"/>
              </w:rPr>
              <w:t>腐蚀性</w:t>
            </w:r>
            <w:r>
              <w:rPr>
                <w:rFonts w:hint="eastAsia"/>
                <w:lang w:val="en-US" w:eastAsia="zh-CN"/>
              </w:rPr>
              <w:t>、毒性</w:t>
            </w:r>
          </w:p>
        </w:tc>
        <w:tc>
          <w:tcPr>
            <w:tcW w:w="1513" w:type="dxa"/>
            <w:tcBorders>
              <w:tl2br w:val="nil"/>
              <w:tr2bl w:val="nil"/>
            </w:tcBorders>
            <w:vAlign w:val="center"/>
          </w:tcPr>
          <w:p>
            <w:pPr>
              <w:pStyle w:val="18"/>
              <w:rPr>
                <w:rFonts w:hint="eastAsia"/>
                <w:lang w:val="en-US" w:eastAsia="zh-CN"/>
              </w:rPr>
            </w:pPr>
            <w:r>
              <w:rPr>
                <w:rFonts w:hint="default"/>
                <w:lang w:val="en-US" w:eastAsia="zh-CN"/>
              </w:rPr>
              <w:t>瓶装，试剂柜</w:t>
            </w:r>
          </w:p>
        </w:tc>
        <w:tc>
          <w:tcPr>
            <w:tcW w:w="1325" w:type="dxa"/>
            <w:tcBorders>
              <w:tl2br w:val="nil"/>
              <w:tr2bl w:val="nil"/>
            </w:tcBorders>
            <w:vAlign w:val="center"/>
          </w:tcPr>
          <w:p>
            <w:pPr>
              <w:pStyle w:val="18"/>
              <w:ind w:firstLine="0" w:firstLineChars="0"/>
              <w:rPr>
                <w:rFonts w:hint="eastAsia"/>
                <w:lang w:val="en-US" w:eastAsia="zh-CN"/>
              </w:rPr>
            </w:pPr>
            <w:r>
              <w:rPr>
                <w:rFonts w:hint="eastAsia"/>
                <w:lang w:val="en-US" w:eastAsia="zh-CN"/>
              </w:rPr>
              <w:t>0.0007</w:t>
            </w:r>
          </w:p>
        </w:tc>
        <w:tc>
          <w:tcPr>
            <w:tcW w:w="1275" w:type="dxa"/>
            <w:tcBorders>
              <w:tl2br w:val="nil"/>
              <w:tr2bl w:val="nil"/>
            </w:tcBorders>
            <w:vAlign w:val="center"/>
          </w:tcPr>
          <w:p>
            <w:pPr>
              <w:pStyle w:val="18"/>
              <w:ind w:firstLine="0" w:firstLineChars="0"/>
              <w:rPr>
                <w:rFonts w:hint="default"/>
                <w:lang w:val="en-US" w:eastAsia="zh-CN"/>
              </w:rPr>
            </w:pPr>
            <w:r>
              <w:rPr>
                <w:rFonts w:hint="eastAsia"/>
                <w:lang w:val="en-US" w:eastAsia="zh-CN"/>
              </w:rPr>
              <w:t>7.5</w:t>
            </w:r>
          </w:p>
        </w:tc>
        <w:tc>
          <w:tcPr>
            <w:tcW w:w="1238" w:type="dxa"/>
            <w:tcBorders>
              <w:tl2br w:val="nil"/>
              <w:tr2bl w:val="nil"/>
            </w:tcBorders>
            <w:vAlign w:val="center"/>
          </w:tcPr>
          <w:p>
            <w:pPr>
              <w:pStyle w:val="18"/>
              <w:ind w:firstLine="0" w:firstLineChars="0"/>
              <w:rPr>
                <w:rFonts w:hint="default"/>
                <w:lang w:val="en-US" w:eastAsia="zh-CN"/>
              </w:rPr>
            </w:pPr>
            <w:r>
              <w:rPr>
                <w:rFonts w:hint="eastAsia"/>
                <w:lang w:val="en-US" w:eastAsia="zh-CN"/>
              </w:rPr>
              <w:t>0.00009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Ex>
        <w:trPr>
          <w:trHeight w:val="397" w:hRule="atLeast"/>
          <w:jc w:val="center"/>
        </w:trPr>
        <w:tc>
          <w:tcPr>
            <w:tcW w:w="609" w:type="dxa"/>
            <w:tcBorders>
              <w:tl2br w:val="nil"/>
              <w:tr2bl w:val="nil"/>
            </w:tcBorders>
            <w:vAlign w:val="center"/>
          </w:tcPr>
          <w:p>
            <w:pPr>
              <w:pStyle w:val="18"/>
              <w:ind w:firstLine="0" w:firstLineChars="0"/>
              <w:rPr>
                <w:rFonts w:hint="eastAsia"/>
                <w:lang w:val="en-US" w:eastAsia="zh-CN"/>
              </w:rPr>
            </w:pPr>
            <w:r>
              <w:rPr>
                <w:rFonts w:hint="eastAsia"/>
                <w:lang w:val="en-US" w:eastAsia="zh-CN"/>
              </w:rPr>
              <w:t>4</w:t>
            </w:r>
          </w:p>
        </w:tc>
        <w:tc>
          <w:tcPr>
            <w:tcW w:w="1087" w:type="dxa"/>
            <w:tcBorders>
              <w:tl2br w:val="nil"/>
              <w:tr2bl w:val="nil"/>
            </w:tcBorders>
            <w:vAlign w:val="center"/>
          </w:tcPr>
          <w:p>
            <w:pPr>
              <w:pStyle w:val="18"/>
              <w:ind w:firstLine="0" w:firstLineChars="0"/>
              <w:jc w:val="both"/>
              <w:rPr>
                <w:rFonts w:hint="default"/>
              </w:rPr>
            </w:pPr>
            <w:r>
              <w:rPr>
                <w:rFonts w:hint="eastAsia"/>
                <w:lang w:val="en-US" w:eastAsia="zh-CN"/>
              </w:rPr>
              <w:t>油类物质</w:t>
            </w:r>
          </w:p>
        </w:tc>
        <w:tc>
          <w:tcPr>
            <w:tcW w:w="1287" w:type="dxa"/>
            <w:tcBorders>
              <w:tl2br w:val="nil"/>
              <w:tr2bl w:val="nil"/>
            </w:tcBorders>
            <w:vAlign w:val="center"/>
          </w:tcPr>
          <w:p>
            <w:pPr>
              <w:pStyle w:val="18"/>
              <w:rPr>
                <w:rFonts w:hint="default"/>
                <w:lang w:val="en-US" w:eastAsia="zh-CN"/>
              </w:rPr>
            </w:pPr>
            <w:r>
              <w:rPr>
                <w:rFonts w:hint="eastAsia"/>
                <w:lang w:val="en-US" w:eastAsia="zh-CN"/>
              </w:rPr>
              <w:t>易燃性</w:t>
            </w:r>
          </w:p>
        </w:tc>
        <w:tc>
          <w:tcPr>
            <w:tcW w:w="1513" w:type="dxa"/>
            <w:tcBorders>
              <w:tl2br w:val="nil"/>
              <w:tr2bl w:val="nil"/>
            </w:tcBorders>
            <w:vAlign w:val="center"/>
          </w:tcPr>
          <w:p>
            <w:pPr>
              <w:pStyle w:val="18"/>
              <w:rPr>
                <w:rFonts w:hint="default"/>
                <w:lang w:val="en-US" w:eastAsia="zh-CN"/>
              </w:rPr>
            </w:pPr>
          </w:p>
        </w:tc>
        <w:tc>
          <w:tcPr>
            <w:tcW w:w="1325" w:type="dxa"/>
            <w:tcBorders>
              <w:tl2br w:val="nil"/>
              <w:tr2bl w:val="nil"/>
            </w:tcBorders>
            <w:vAlign w:val="center"/>
          </w:tcPr>
          <w:p>
            <w:pPr>
              <w:pStyle w:val="18"/>
              <w:ind w:firstLine="0" w:firstLineChars="0"/>
              <w:rPr>
                <w:rFonts w:hint="eastAsia"/>
                <w:lang w:val="en-US" w:eastAsia="zh-CN"/>
              </w:rPr>
            </w:pPr>
            <w:r>
              <w:rPr>
                <w:rFonts w:hint="eastAsia"/>
                <w:lang w:val="en-US" w:eastAsia="zh-CN"/>
              </w:rPr>
              <w:t>8.72</w:t>
            </w:r>
          </w:p>
        </w:tc>
        <w:tc>
          <w:tcPr>
            <w:tcW w:w="1275" w:type="dxa"/>
            <w:tcBorders>
              <w:tl2br w:val="nil"/>
              <w:tr2bl w:val="nil"/>
            </w:tcBorders>
            <w:vAlign w:val="center"/>
          </w:tcPr>
          <w:p>
            <w:pPr>
              <w:pStyle w:val="18"/>
              <w:ind w:firstLine="0" w:firstLineChars="0"/>
              <w:rPr>
                <w:rFonts w:hint="default"/>
                <w:lang w:val="en-US" w:eastAsia="zh-CN"/>
              </w:rPr>
            </w:pPr>
            <w:r>
              <w:rPr>
                <w:rFonts w:hint="eastAsia"/>
                <w:lang w:val="en-US" w:eastAsia="zh-CN"/>
              </w:rPr>
              <w:t>2500</w:t>
            </w:r>
          </w:p>
        </w:tc>
        <w:tc>
          <w:tcPr>
            <w:tcW w:w="1238" w:type="dxa"/>
            <w:tcBorders>
              <w:tl2br w:val="nil"/>
              <w:tr2bl w:val="nil"/>
            </w:tcBorders>
            <w:vAlign w:val="center"/>
          </w:tcPr>
          <w:p>
            <w:pPr>
              <w:pStyle w:val="18"/>
              <w:ind w:firstLine="0" w:firstLineChars="0"/>
              <w:rPr>
                <w:rFonts w:hint="default"/>
                <w:lang w:val="en-US" w:eastAsia="zh-CN"/>
              </w:rPr>
            </w:pPr>
            <w:r>
              <w:rPr>
                <w:rFonts w:hint="eastAsia"/>
                <w:lang w:val="en-US" w:eastAsia="zh-CN"/>
              </w:rPr>
              <w:t>0.0034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Ex>
        <w:trPr>
          <w:trHeight w:val="397" w:hRule="atLeast"/>
          <w:jc w:val="center"/>
        </w:trPr>
        <w:tc>
          <w:tcPr>
            <w:tcW w:w="7096" w:type="dxa"/>
            <w:gridSpan w:val="6"/>
            <w:tcBorders>
              <w:tl2br w:val="nil"/>
              <w:tr2bl w:val="nil"/>
            </w:tcBorders>
            <w:vAlign w:val="center"/>
          </w:tcPr>
          <w:p>
            <w:pPr>
              <w:pStyle w:val="18"/>
              <w:rPr>
                <w:rFonts w:hint="default"/>
                <w:lang w:val="en-US" w:eastAsia="zh-CN"/>
              </w:rPr>
            </w:pPr>
            <w:r>
              <w:rPr>
                <w:rFonts w:hint="default"/>
                <w:lang w:val="en-US" w:eastAsia="zh-CN"/>
              </w:rPr>
              <w:t>合计</w:t>
            </w:r>
          </w:p>
        </w:tc>
        <w:tc>
          <w:tcPr>
            <w:tcW w:w="1238" w:type="dxa"/>
            <w:tcBorders>
              <w:tl2br w:val="nil"/>
              <w:tr2bl w:val="nil"/>
            </w:tcBorders>
            <w:vAlign w:val="center"/>
          </w:tcPr>
          <w:p>
            <w:pPr>
              <w:pStyle w:val="18"/>
              <w:rPr>
                <w:rFonts w:hint="default"/>
                <w:lang w:val="en-US" w:eastAsia="zh-CN"/>
              </w:rPr>
            </w:pPr>
            <w:r>
              <w:rPr>
                <w:rFonts w:hint="eastAsia"/>
                <w:lang w:val="en-US" w:eastAsia="zh-CN"/>
              </w:rPr>
              <w:t>0.0035</w:t>
            </w:r>
          </w:p>
        </w:tc>
      </w:tr>
    </w:tbl>
    <w:p>
      <w:pPr>
        <w:pStyle w:val="14"/>
        <w:rPr>
          <w:rFonts w:hint="default"/>
          <w:lang w:val="zh-CN"/>
        </w:rPr>
      </w:pPr>
      <w:r>
        <w:rPr>
          <w:rFonts w:hint="default"/>
          <w:lang w:val="zh-CN"/>
        </w:rPr>
        <w:t>根据上表可知，</w:t>
      </w:r>
      <w:r>
        <w:rPr>
          <w:rFonts w:hint="eastAsia"/>
          <w:lang w:eastAsia="zh-CN"/>
        </w:rPr>
        <w:t>赣州经开区污水处理厂</w:t>
      </w:r>
      <w:r>
        <w:rPr>
          <w:rFonts w:hint="default"/>
          <w:lang w:val="zh-CN"/>
        </w:rPr>
        <w:t>环境风险物质最大存量与临界量比值加和</w:t>
      </w:r>
      <w:r>
        <w:rPr>
          <w:rFonts w:hint="default"/>
        </w:rPr>
        <w:t>Σ</w:t>
      </w:r>
      <w:r>
        <w:rPr>
          <w:rFonts w:hint="default"/>
          <w:lang w:val="en-US" w:eastAsia="zh-CN"/>
        </w:rPr>
        <w:t>w</w:t>
      </w:r>
      <w:r>
        <w:rPr>
          <w:rFonts w:hint="default"/>
        </w:rPr>
        <w:t>/Q</w:t>
      </w: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lang w:val="zh-CN"/>
        </w:rPr>
        <w:t>&lt;1，以</w:t>
      </w:r>
      <w:r>
        <w:rPr>
          <w:rFonts w:hint="default"/>
          <w:lang w:val="en-US" w:eastAsia="zh-CN"/>
        </w:rPr>
        <w:t>Q0</w:t>
      </w:r>
      <w:r>
        <w:rPr>
          <w:rFonts w:hint="default"/>
          <w:lang w:val="zh-CN"/>
        </w:rPr>
        <w:t>表示。</w:t>
      </w:r>
    </w:p>
    <w:p>
      <w:pPr>
        <w:pStyle w:val="21"/>
        <w:rPr>
          <w:rFonts w:hint="default" w:ascii="Times New Roman" w:hAnsi="Times New Roman" w:cs="Times New Roman"/>
          <w:color w:val="auto"/>
          <w:highlight w:val="none"/>
          <w:u w:val="none"/>
        </w:rPr>
      </w:pPr>
      <w:bookmarkStart w:id="203" w:name="_Toc10242"/>
      <w:bookmarkStart w:id="204" w:name="_Toc16220"/>
      <w:bookmarkStart w:id="205" w:name="_Toc9909_WPSOffice_Level2"/>
      <w:bookmarkStart w:id="206" w:name="_Toc18413"/>
      <w:bookmarkStart w:id="207" w:name="_Toc4928_WPSOffice_Level2"/>
      <w:r>
        <w:rPr>
          <w:rFonts w:hint="eastAsia" w:hAnsi="Times New Roman" w:cs="Times New Roman"/>
          <w:color w:val="auto"/>
          <w:highlight w:val="none"/>
          <w:u w:val="none"/>
          <w:lang w:val="en-US" w:eastAsia="zh-CN"/>
        </w:rPr>
        <w:t>3.1.2</w:t>
      </w:r>
      <w:r>
        <w:rPr>
          <w:rFonts w:hint="default" w:ascii="Times New Roman" w:hAnsi="Times New Roman" w:cs="Times New Roman"/>
          <w:color w:val="auto"/>
          <w:highlight w:val="none"/>
          <w:u w:val="none"/>
        </w:rPr>
        <w:t>风险</w:t>
      </w:r>
      <w:r>
        <w:rPr>
          <w:rFonts w:hint="default" w:ascii="Times New Roman" w:hAnsi="Times New Roman" w:cs="Times New Roman"/>
          <w:color w:val="auto"/>
          <w:highlight w:val="none"/>
          <w:u w:val="none"/>
          <w:lang w:val="en-US" w:eastAsia="zh-CN"/>
        </w:rPr>
        <w:t>环节</w:t>
      </w:r>
      <w:r>
        <w:rPr>
          <w:rFonts w:hint="default" w:ascii="Times New Roman" w:hAnsi="Times New Roman" w:cs="Times New Roman"/>
          <w:color w:val="auto"/>
          <w:highlight w:val="none"/>
          <w:u w:val="none"/>
        </w:rPr>
        <w:t>识别</w:t>
      </w:r>
      <w:bookmarkEnd w:id="203"/>
      <w:bookmarkEnd w:id="204"/>
      <w:bookmarkEnd w:id="205"/>
      <w:bookmarkEnd w:id="206"/>
      <w:bookmarkEnd w:id="207"/>
    </w:p>
    <w:p>
      <w:pPr>
        <w:pStyle w:val="14"/>
        <w:rPr>
          <w:rFonts w:hint="default"/>
          <w:lang w:val="en-US" w:eastAsia="zh-CN"/>
        </w:rPr>
      </w:pPr>
      <w:r>
        <w:rPr>
          <w:rFonts w:hint="default"/>
          <w:lang w:val="en-US" w:eastAsia="zh-CN"/>
        </w:rPr>
        <w:t>根据《企业突发环境事件风险分级方法》（HJ941-2018），结合本</w:t>
      </w:r>
      <w:r>
        <w:rPr>
          <w:rFonts w:hint="eastAsia"/>
          <w:lang w:val="en-US" w:eastAsia="zh-CN"/>
        </w:rPr>
        <w:t>厂</w:t>
      </w:r>
      <w:r>
        <w:rPr>
          <w:rFonts w:hint="default"/>
          <w:lang w:val="en-US" w:eastAsia="zh-CN"/>
        </w:rPr>
        <w:t>实际情况，得出</w:t>
      </w:r>
      <w:r>
        <w:rPr>
          <w:rFonts w:hint="eastAsia"/>
          <w:lang w:val="en-US" w:eastAsia="zh-CN"/>
        </w:rPr>
        <w:t>污水处理厂</w:t>
      </w:r>
      <w:r>
        <w:rPr>
          <w:rFonts w:hint="default"/>
          <w:lang w:val="en-US" w:eastAsia="zh-CN"/>
        </w:rPr>
        <w:t>涉及到的环境风险源包括：</w:t>
      </w:r>
    </w:p>
    <w:p>
      <w:pPr>
        <w:pStyle w:val="14"/>
        <w:rPr>
          <w:rFonts w:hint="default"/>
          <w:lang w:val="en-US"/>
        </w:rPr>
      </w:pPr>
      <w:bookmarkStart w:id="208" w:name="_Toc6193_WPSOffice_Level2"/>
      <w:bookmarkStart w:id="209" w:name="_Toc10125_WPSOffice_Level2"/>
      <w:bookmarkStart w:id="210" w:name="_Toc1898"/>
      <w:bookmarkStart w:id="211" w:name="_Toc8668_WPSOffice_Level2"/>
      <w:r>
        <w:rPr>
          <w:rFonts w:hint="eastAsia"/>
          <w:lang w:val="en-US" w:eastAsia="zh-CN"/>
        </w:rPr>
        <w:t>1、</w:t>
      </w:r>
      <w:r>
        <w:rPr>
          <w:rFonts w:hint="default"/>
          <w:lang w:val="en-US" w:eastAsia="zh-CN"/>
        </w:rPr>
        <w:t>生产工艺</w:t>
      </w:r>
      <w:bookmarkEnd w:id="208"/>
      <w:bookmarkEnd w:id="209"/>
      <w:bookmarkEnd w:id="210"/>
      <w:bookmarkEnd w:id="211"/>
    </w:p>
    <w:p>
      <w:pPr>
        <w:pStyle w:val="14"/>
        <w:rPr>
          <w:rFonts w:hint="default"/>
          <w:lang w:val="en-US" w:eastAsia="zh-CN"/>
        </w:rPr>
      </w:pPr>
      <w:r>
        <w:rPr>
          <w:rFonts w:hint="eastAsia"/>
          <w:lang w:eastAsia="zh-CN"/>
        </w:rPr>
        <w:t>赣州经开区污水处理厂</w:t>
      </w:r>
      <w:r>
        <w:rPr>
          <w:rFonts w:hint="default"/>
          <w:lang w:val="en-US" w:eastAsia="zh-CN"/>
        </w:rPr>
        <w:t>的处理工艺采用</w:t>
      </w:r>
      <w:r>
        <w:rPr>
          <w:rFonts w:ascii="Times New Roman" w:hAnsi="Times New Roman" w:cs="Times New Roman"/>
        </w:rPr>
        <w:t>A</w:t>
      </w:r>
      <w:r>
        <w:rPr>
          <w:rFonts w:hint="eastAsia" w:cs="Times New Roman"/>
          <w:vertAlign w:val="superscript"/>
          <w:lang w:val="en-US" w:eastAsia="zh-CN"/>
        </w:rPr>
        <w:t>2</w:t>
      </w:r>
      <w:r>
        <w:rPr>
          <w:rFonts w:hint="eastAsia" w:cs="Times New Roman"/>
          <w:lang w:val="en-US" w:eastAsia="zh-CN"/>
        </w:rPr>
        <w:t>/O</w:t>
      </w:r>
      <w:r>
        <w:rPr>
          <w:rFonts w:ascii="Times New Roman" w:hAnsi="Times New Roman" w:cs="Times New Roman"/>
        </w:rPr>
        <w:t>工艺</w:t>
      </w:r>
      <w:r>
        <w:rPr>
          <w:rFonts w:hint="default"/>
          <w:lang w:val="en-US" w:eastAsia="zh-CN"/>
        </w:rPr>
        <w:t>，本身具有抗冲击负荷能力强、运行保证率高等一定的风险防范能力，项目进水量较小，有足够的规模处理水量。因而发生事故概率很小。</w:t>
      </w:r>
    </w:p>
    <w:p>
      <w:pPr>
        <w:pStyle w:val="14"/>
        <w:rPr>
          <w:rFonts w:hint="default"/>
          <w:lang w:val="en-US" w:eastAsia="zh-CN"/>
        </w:rPr>
      </w:pPr>
      <w:bookmarkStart w:id="212" w:name="_Toc18340_WPSOffice_Level2"/>
      <w:r>
        <w:rPr>
          <w:rFonts w:hint="eastAsia"/>
          <w:lang w:val="en-US" w:eastAsia="zh-CN"/>
        </w:rPr>
        <w:t>2、</w:t>
      </w:r>
      <w:r>
        <w:rPr>
          <w:rFonts w:hint="default"/>
          <w:lang w:val="en-US" w:eastAsia="zh-CN"/>
        </w:rPr>
        <w:t>污染物及环保设施</w:t>
      </w:r>
      <w:bookmarkEnd w:id="212"/>
    </w:p>
    <w:p>
      <w:pPr>
        <w:pStyle w:val="14"/>
        <w:rPr>
          <w:rFonts w:hint="default"/>
          <w:lang w:val="en-US" w:eastAsia="zh-CN"/>
        </w:rPr>
      </w:pPr>
      <w:r>
        <w:rPr>
          <w:rFonts w:hint="default"/>
          <w:lang w:eastAsia="zh-CN"/>
        </w:rPr>
        <w:t>（</w:t>
      </w:r>
      <w:r>
        <w:rPr>
          <w:rFonts w:hint="default"/>
          <w:lang w:val="en-US" w:eastAsia="zh-CN"/>
        </w:rPr>
        <w:t>1</w:t>
      </w:r>
      <w:r>
        <w:rPr>
          <w:rFonts w:hint="default"/>
          <w:lang w:eastAsia="zh-CN"/>
        </w:rPr>
        <w:t>）</w:t>
      </w:r>
      <w:r>
        <w:rPr>
          <w:rFonts w:hint="default"/>
          <w:lang w:val="en-US" w:eastAsia="zh-CN"/>
        </w:rPr>
        <w:t>废气环保设施识别</w:t>
      </w:r>
    </w:p>
    <w:p>
      <w:pPr>
        <w:pStyle w:val="14"/>
        <w:rPr>
          <w:rFonts w:hint="default"/>
          <w:lang w:eastAsia="zh-CN"/>
        </w:rPr>
      </w:pPr>
      <w:r>
        <w:rPr>
          <w:rFonts w:hint="default"/>
        </w:rPr>
        <w:t>本污水处理厂大气污染源主要为污水</w:t>
      </w:r>
      <w:r>
        <w:rPr>
          <w:rFonts w:hint="eastAsia"/>
          <w:lang w:eastAsia="zh-CN"/>
        </w:rPr>
        <w:t>、污泥</w:t>
      </w:r>
      <w:r>
        <w:rPr>
          <w:rFonts w:hint="default"/>
        </w:rPr>
        <w:t>处理过程中排放的恶臭，污染因</w:t>
      </w:r>
    </w:p>
    <w:p>
      <w:pPr>
        <w:pStyle w:val="14"/>
        <w:ind w:left="0" w:leftChars="0" w:firstLine="0" w:firstLineChars="0"/>
        <w:rPr>
          <w:rFonts w:hint="default"/>
          <w:lang w:eastAsia="zh-CN"/>
        </w:rPr>
      </w:pPr>
      <w:r>
        <w:rPr>
          <w:rFonts w:hint="default"/>
        </w:rPr>
        <w:t>子主要为氨</w:t>
      </w:r>
      <w:r>
        <w:rPr>
          <w:rFonts w:hint="default"/>
          <w:lang w:eastAsia="zh-CN"/>
        </w:rPr>
        <w:t>、硫化氢，主要来自格栅井、水解酸化池、</w:t>
      </w:r>
      <w:r>
        <w:rPr>
          <w:rFonts w:hint="eastAsia"/>
          <w:lang w:val="en-US" w:eastAsia="zh-CN"/>
        </w:rPr>
        <w:t>A</w:t>
      </w:r>
      <w:r>
        <w:rPr>
          <w:rFonts w:hint="eastAsia"/>
          <w:vertAlign w:val="superscript"/>
          <w:lang w:val="en-US" w:eastAsia="zh-CN"/>
        </w:rPr>
        <w:t>2</w:t>
      </w:r>
      <w:r>
        <w:rPr>
          <w:rFonts w:hint="eastAsia"/>
          <w:lang w:val="en-US" w:eastAsia="zh-CN"/>
        </w:rPr>
        <w:t>O</w:t>
      </w:r>
      <w:r>
        <w:rPr>
          <w:rFonts w:hint="default"/>
          <w:lang w:eastAsia="zh-CN"/>
        </w:rPr>
        <w:t>池以及污泥处理单元等。</w:t>
      </w:r>
    </w:p>
    <w:p>
      <w:pPr>
        <w:pStyle w:val="14"/>
        <w:rPr>
          <w:rFonts w:hint="default"/>
          <w:lang w:val="en-US" w:eastAsia="zh-CN"/>
        </w:rPr>
      </w:pPr>
      <w:r>
        <w:rPr>
          <w:rFonts w:hint="eastAsia"/>
          <w:lang w:eastAsia="zh-CN"/>
        </w:rPr>
        <w:t>赣州经开区污水处理厂</w:t>
      </w:r>
      <w:r>
        <w:rPr>
          <w:rFonts w:hint="default"/>
          <w:lang w:eastAsia="zh-CN"/>
        </w:rPr>
        <w:t>位于</w:t>
      </w:r>
      <w:r>
        <w:rPr>
          <w:rFonts w:hint="eastAsia"/>
          <w:lang w:eastAsia="zh-CN"/>
        </w:rPr>
        <w:t>赣州经济技术开发区岗边村上坝</w:t>
      </w:r>
      <w:r>
        <w:rPr>
          <w:rFonts w:hint="default"/>
          <w:lang w:eastAsia="zh-CN"/>
        </w:rPr>
        <w:t>，为了防止和避免污水处理厂臭味对周围居民生活的影响，</w:t>
      </w:r>
      <w:r>
        <w:rPr>
          <w:rFonts w:hint="default"/>
          <w:lang w:val="en-US" w:eastAsia="zh-CN"/>
        </w:rPr>
        <w:t>企业可通过</w:t>
      </w:r>
      <w:r>
        <w:rPr>
          <w:rFonts w:hint="default"/>
          <w:lang w:eastAsia="zh-CN"/>
        </w:rPr>
        <w:t>合理布置，产生臭气的单元均相对集中且远离人群，在厂区内广泛的种植各类植物，吸收异味、阻挡臭气的传播；</w:t>
      </w:r>
      <w:r>
        <w:rPr>
          <w:rFonts w:hint="default"/>
          <w:lang w:val="en-US" w:eastAsia="zh-CN"/>
        </w:rPr>
        <w:t>加强企业管理，</w:t>
      </w:r>
      <w:r>
        <w:rPr>
          <w:rFonts w:hint="default"/>
          <w:lang w:eastAsia="zh-CN"/>
        </w:rPr>
        <w:t>产生的污泥每一天清运一次，防止堆积在厂区内散发腐臭气味。</w:t>
      </w:r>
    </w:p>
    <w:p>
      <w:pPr>
        <w:pStyle w:val="14"/>
        <w:rPr>
          <w:rFonts w:hint="default"/>
          <w:lang w:val="zh-CN" w:eastAsia="zh-CN"/>
        </w:rPr>
      </w:pPr>
      <w:r>
        <w:rPr>
          <w:rFonts w:hint="default"/>
          <w:lang w:val="zh-CN" w:eastAsia="zh-CN"/>
        </w:rPr>
        <w:t>（2）废水环保设施</w:t>
      </w:r>
    </w:p>
    <w:p>
      <w:pPr>
        <w:pStyle w:val="14"/>
        <w:rPr>
          <w:rFonts w:hint="default"/>
          <w:lang w:val="en-US" w:eastAsia="zh-CN"/>
        </w:rPr>
      </w:pPr>
      <w:r>
        <w:rPr>
          <w:rFonts w:hint="eastAsia"/>
          <w:lang w:eastAsia="zh-CN"/>
        </w:rPr>
        <w:t>赣州经开区污水处理厂</w:t>
      </w:r>
      <w:r>
        <w:rPr>
          <w:rFonts w:hint="default"/>
          <w:lang w:val="zh-CN"/>
        </w:rPr>
        <w:t>为</w:t>
      </w:r>
      <w:r>
        <w:rPr>
          <w:rFonts w:hint="default"/>
          <w:lang w:val="en-US" w:eastAsia="zh-CN"/>
        </w:rPr>
        <w:t>环保工程</w:t>
      </w:r>
      <w:r>
        <w:rPr>
          <w:rFonts w:hint="default"/>
          <w:lang w:val="zh-CN"/>
        </w:rPr>
        <w:t>，运行过程中工作人员日常生活产生的生活污水、生产污水等通过厂内污水管道收集后自流汇入粗格栅池，与进厂污水一并处理，</w:t>
      </w:r>
      <w:r>
        <w:rPr>
          <w:rFonts w:hint="default"/>
          <w:lang w:val="en-US" w:eastAsia="zh-CN"/>
        </w:rPr>
        <w:t>处理达标后排入</w:t>
      </w:r>
      <w:r>
        <w:rPr>
          <w:rFonts w:hint="eastAsia"/>
          <w:lang w:val="en-US" w:eastAsia="zh-CN"/>
        </w:rPr>
        <w:t>赣江</w:t>
      </w:r>
      <w:r>
        <w:rPr>
          <w:rFonts w:hint="default"/>
          <w:lang w:val="en-US" w:eastAsia="zh-CN"/>
        </w:rPr>
        <w:t>。</w:t>
      </w:r>
    </w:p>
    <w:p>
      <w:pPr>
        <w:pStyle w:val="14"/>
        <w:rPr>
          <w:rFonts w:hint="default"/>
          <w:lang w:val="en-US" w:eastAsia="zh-CN"/>
        </w:rPr>
      </w:pPr>
      <w:r>
        <w:rPr>
          <w:rFonts w:hint="default"/>
          <w:lang w:val="en-US" w:eastAsia="zh-CN"/>
        </w:rPr>
        <w:t>因污水处理设施故障会导致污水处理效率下降甚至污水处理厂大量超标外排水下泄，对</w:t>
      </w:r>
      <w:r>
        <w:rPr>
          <w:rFonts w:hint="eastAsia"/>
          <w:lang w:val="en-US" w:eastAsia="zh-CN"/>
        </w:rPr>
        <w:t>赣江</w:t>
      </w:r>
      <w:r>
        <w:rPr>
          <w:rFonts w:hint="default"/>
          <w:lang w:val="en-US" w:eastAsia="zh-CN"/>
        </w:rPr>
        <w:t>环境造成影响，构成环境风险源。</w:t>
      </w:r>
    </w:p>
    <w:p>
      <w:pPr>
        <w:pStyle w:val="14"/>
        <w:rPr>
          <w:rFonts w:hint="default"/>
          <w:lang w:val="zh-CN" w:eastAsia="zh-CN"/>
        </w:rPr>
      </w:pPr>
      <w:r>
        <w:rPr>
          <w:rFonts w:hint="default"/>
          <w:lang w:val="zh-CN" w:eastAsia="zh-CN"/>
        </w:rPr>
        <w:t>（3）固废环保设施</w:t>
      </w:r>
    </w:p>
    <w:p>
      <w:pPr>
        <w:pStyle w:val="14"/>
        <w:rPr>
          <w:rFonts w:hint="default"/>
        </w:rPr>
      </w:pPr>
      <w:r>
        <w:rPr>
          <w:rFonts w:hint="eastAsia"/>
          <w:lang w:eastAsia="zh-CN"/>
        </w:rPr>
        <w:t>赣州经开区污水处理厂</w:t>
      </w:r>
      <w:r>
        <w:rPr>
          <w:rFonts w:hint="default"/>
        </w:rPr>
        <w:t>产生的固体废物包括栅渣、沉砂、脱水污泥以及职工生活垃圾。</w:t>
      </w:r>
    </w:p>
    <w:p>
      <w:pPr>
        <w:pStyle w:val="14"/>
        <w:rPr>
          <w:rFonts w:hint="default"/>
        </w:rPr>
      </w:pPr>
      <w:r>
        <w:rPr>
          <w:rFonts w:hint="default"/>
        </w:rPr>
        <w:t>格栅渣、沉砂主要由塑料、碎石、泥沙组成，因其性质与生活垃圾相似，因此与生活垃圾一起由环卫部门统一收集后填埋处理。</w:t>
      </w:r>
    </w:p>
    <w:p>
      <w:pPr>
        <w:pStyle w:val="14"/>
        <w:rPr>
          <w:rFonts w:hint="default"/>
        </w:rPr>
      </w:pPr>
      <w:r>
        <w:rPr>
          <w:rFonts w:hint="default"/>
        </w:rPr>
        <w:t>污泥处理与处置的目的是减量化、稳定化、无害化和资源化。</w:t>
      </w:r>
      <w:r>
        <w:rPr>
          <w:rFonts w:hint="eastAsia"/>
          <w:lang w:eastAsia="zh-CN"/>
        </w:rPr>
        <w:t>本项目</w:t>
      </w:r>
      <w:r>
        <w:rPr>
          <w:rFonts w:hint="eastAsia"/>
          <w:lang w:val="en-US" w:eastAsia="zh-CN"/>
        </w:rPr>
        <w:t>污泥属性需在试运行阶段做鉴别实验确定，如鉴别结论定性为危险废物，则交由有相应危废处理资质的单位处置；如为一般工业固体，则与其他固废一同交由当地环卫部门进行安全处置</w:t>
      </w:r>
      <w:r>
        <w:rPr>
          <w:rFonts w:hint="default"/>
        </w:rPr>
        <w:t>。</w:t>
      </w:r>
    </w:p>
    <w:p>
      <w:pPr>
        <w:pStyle w:val="14"/>
        <w:rPr>
          <w:rFonts w:hint="default"/>
          <w:lang w:val="en-US" w:eastAsia="zh-CN"/>
        </w:rPr>
      </w:pPr>
      <w:bookmarkStart w:id="213" w:name="_Toc31436_WPSOffice_Level2"/>
      <w:bookmarkStart w:id="214" w:name="_Toc29553_WPSOffice_Level2"/>
      <w:bookmarkStart w:id="215" w:name="_Toc14912_WPSOffice_Level2"/>
      <w:r>
        <w:rPr>
          <w:rFonts w:hint="eastAsia"/>
          <w:lang w:val="en-US" w:eastAsia="zh-CN"/>
        </w:rPr>
        <w:t>3、</w:t>
      </w:r>
      <w:r>
        <w:rPr>
          <w:rFonts w:hint="default"/>
          <w:lang w:val="en-US" w:eastAsia="zh-CN"/>
        </w:rPr>
        <w:t>原辅料、风险物质存储及运输</w:t>
      </w:r>
      <w:bookmarkEnd w:id="213"/>
      <w:bookmarkEnd w:id="214"/>
      <w:bookmarkEnd w:id="215"/>
    </w:p>
    <w:p>
      <w:pPr>
        <w:pStyle w:val="14"/>
        <w:rPr>
          <w:rFonts w:hint="default"/>
          <w:lang w:eastAsia="zh-CN"/>
        </w:rPr>
      </w:pPr>
      <w:r>
        <w:rPr>
          <w:rFonts w:hint="default"/>
        </w:rPr>
        <w:t>项目运营期生产中所用主要原料为</w:t>
      </w:r>
      <w:r>
        <w:rPr>
          <w:rFonts w:hint="eastAsia"/>
          <w:kern w:val="2"/>
          <w:lang w:eastAsia="zh-CN"/>
        </w:rPr>
        <w:t>纳污</w:t>
      </w:r>
      <w:r>
        <w:rPr>
          <w:rFonts w:hint="eastAsia" w:ascii="Times New Roman"/>
          <w:kern w:val="2"/>
        </w:rPr>
        <w:t>范围内的工业废水</w:t>
      </w:r>
      <w:r>
        <w:rPr>
          <w:rFonts w:hint="default"/>
          <w:lang w:eastAsia="zh-CN"/>
        </w:rPr>
        <w:t>，</w:t>
      </w:r>
      <w:r>
        <w:rPr>
          <w:rFonts w:hint="eastAsia"/>
          <w:lang w:val="en-US" w:eastAsia="zh-CN"/>
        </w:rPr>
        <w:t>赣州经开区污水处理厂</w:t>
      </w:r>
      <w:r>
        <w:rPr>
          <w:rFonts w:hint="default"/>
          <w:lang w:val="en-US" w:eastAsia="zh-CN"/>
        </w:rPr>
        <w:t>处理能力为</w:t>
      </w:r>
      <w:r>
        <w:rPr>
          <w:rFonts w:hint="eastAsia"/>
          <w:lang w:val="en-US" w:eastAsia="zh-CN"/>
        </w:rPr>
        <w:t>1</w:t>
      </w:r>
      <w:r>
        <w:rPr>
          <w:rFonts w:hint="default"/>
          <w:lang w:val="en-US" w:eastAsia="zh-CN"/>
        </w:rPr>
        <w:t>万m</w:t>
      </w:r>
      <w:r>
        <w:rPr>
          <w:rFonts w:hint="default"/>
          <w:vertAlign w:val="superscript"/>
          <w:lang w:val="en-US" w:eastAsia="zh-CN"/>
        </w:rPr>
        <w:t>3</w:t>
      </w:r>
      <w:r>
        <w:rPr>
          <w:rFonts w:hint="default"/>
          <w:lang w:val="en-US" w:eastAsia="zh-CN"/>
        </w:rPr>
        <w:t>/d，近一</w:t>
      </w:r>
      <w:r>
        <w:rPr>
          <w:rFonts w:hint="eastAsia"/>
          <w:lang w:val="en-US" w:eastAsia="zh-CN"/>
        </w:rPr>
        <w:t>月</w:t>
      </w:r>
      <w:r>
        <w:rPr>
          <w:rFonts w:hint="default"/>
          <w:lang w:val="en-US" w:eastAsia="zh-CN"/>
        </w:rPr>
        <w:t>实际处理水量约为</w:t>
      </w:r>
      <w:r>
        <w:rPr>
          <w:rFonts w:hint="eastAsia"/>
          <w:lang w:val="en-US" w:eastAsia="zh-CN"/>
        </w:rPr>
        <w:t>2000</w:t>
      </w:r>
      <w:r>
        <w:rPr>
          <w:rFonts w:hint="default"/>
          <w:lang w:val="en-US" w:eastAsia="zh-CN"/>
        </w:rPr>
        <w:t>m</w:t>
      </w:r>
      <w:r>
        <w:rPr>
          <w:rFonts w:hint="default"/>
          <w:vertAlign w:val="superscript"/>
          <w:lang w:val="en-US" w:eastAsia="zh-CN"/>
        </w:rPr>
        <w:t>3</w:t>
      </w:r>
      <w:r>
        <w:rPr>
          <w:rFonts w:hint="default"/>
          <w:lang w:val="en-US" w:eastAsia="zh-CN"/>
        </w:rPr>
        <w:t>/d。实际处理水量远小于设计处理规模。</w:t>
      </w:r>
    </w:p>
    <w:p>
      <w:pPr>
        <w:pStyle w:val="14"/>
        <w:rPr>
          <w:rFonts w:hint="default"/>
          <w:lang w:val="en-US" w:eastAsia="zh-CN"/>
        </w:rPr>
      </w:pPr>
      <w:r>
        <w:rPr>
          <w:rFonts w:hint="eastAsia"/>
          <w:lang w:val="en-US" w:eastAsia="zh-CN"/>
        </w:rPr>
        <w:t>赣州经开区污水处理厂</w:t>
      </w:r>
      <w:r>
        <w:rPr>
          <w:rFonts w:hint="default"/>
        </w:rPr>
        <w:t>涉及的实验室药剂等化学品由供应方负责运输，污水处理产生的污泥由专门的运输公司负责运输，均不在本预案的考虑范围之内；</w:t>
      </w:r>
      <w:r>
        <w:rPr>
          <w:rFonts w:hint="default"/>
          <w:lang w:val="en-US" w:eastAsia="zh-CN"/>
        </w:rPr>
        <w:t>生产过程中产生的线监测废液经收集后及时送有危废处理资质的单位托运，同时</w:t>
      </w:r>
      <w:r>
        <w:rPr>
          <w:rFonts w:hint="eastAsia"/>
          <w:lang w:val="en-US" w:eastAsia="zh-CN"/>
        </w:rPr>
        <w:t>废液、</w:t>
      </w:r>
      <w:r>
        <w:rPr>
          <w:rFonts w:hint="default"/>
          <w:lang w:val="en-US" w:eastAsia="zh-CN"/>
        </w:rPr>
        <w:t>污泥运输过程中采取密闭措施，防止运输中产生的二次污染</w:t>
      </w:r>
      <w:r>
        <w:rPr>
          <w:rFonts w:hint="eastAsia"/>
          <w:lang w:val="en-US" w:eastAsia="zh-CN"/>
        </w:rPr>
        <w:t>，项目建成至今，危废均储存于危废暂存间，暂未与有资质危废公司签订合同，应立即完善相关内容</w:t>
      </w:r>
      <w:r>
        <w:rPr>
          <w:rFonts w:hint="default"/>
          <w:lang w:val="en-US" w:eastAsia="zh-CN"/>
        </w:rPr>
        <w:t>。</w:t>
      </w:r>
    </w:p>
    <w:p>
      <w:pPr>
        <w:pStyle w:val="14"/>
        <w:rPr>
          <w:rFonts w:hint="default"/>
        </w:rPr>
      </w:pPr>
      <w:r>
        <w:rPr>
          <w:rFonts w:hint="default"/>
        </w:rPr>
        <w:t>企业物料运输风险主要为危险化学品在厂内装卸过程中因人为操作失误或容器破损发生泄漏造成的环境污染事件。企业应严格遵守并贯彻《危险化学品运输、装卸安全管理制度》，其存在的环境风险可控。</w:t>
      </w:r>
    </w:p>
    <w:p>
      <w:pPr>
        <w:pStyle w:val="14"/>
        <w:rPr>
          <w:rFonts w:hint="default"/>
          <w:lang w:val="en-US" w:eastAsia="zh-CN"/>
        </w:rPr>
      </w:pPr>
      <w:bookmarkStart w:id="216" w:name="_Toc31105_WPSOffice_Level2"/>
      <w:bookmarkStart w:id="217" w:name="_Toc23500_WPSOffice_Level2"/>
      <w:bookmarkStart w:id="218" w:name="_Toc5994"/>
      <w:bookmarkStart w:id="219" w:name="_Toc11687_WPSOffice_Level2"/>
      <w:r>
        <w:rPr>
          <w:rFonts w:hint="eastAsia"/>
          <w:lang w:val="en-US" w:eastAsia="zh-CN"/>
        </w:rPr>
        <w:t>4、</w:t>
      </w:r>
      <w:r>
        <w:rPr>
          <w:rFonts w:hint="default"/>
          <w:lang w:val="en-US" w:eastAsia="zh-CN"/>
        </w:rPr>
        <w:t>外源性风险源</w:t>
      </w:r>
      <w:bookmarkEnd w:id="216"/>
      <w:bookmarkEnd w:id="217"/>
      <w:bookmarkEnd w:id="218"/>
      <w:bookmarkEnd w:id="219"/>
    </w:p>
    <w:p>
      <w:pPr>
        <w:pStyle w:val="14"/>
        <w:rPr>
          <w:rFonts w:hint="default"/>
        </w:rPr>
      </w:pPr>
      <w:r>
        <w:rPr>
          <w:rFonts w:hint="eastAsia"/>
          <w:lang w:val="en-US" w:eastAsia="zh-CN"/>
        </w:rPr>
        <w:t>赣州经开区污水处理厂</w:t>
      </w:r>
      <w:r>
        <w:rPr>
          <w:rFonts w:hint="default"/>
        </w:rPr>
        <w:t>本身属于环保治理工程，其外源性环境风险对其有一定的影响。主要是服务范围内，部分情况下</w:t>
      </w:r>
      <w:r>
        <w:rPr>
          <w:rFonts w:hint="eastAsia"/>
          <w:lang w:eastAsia="zh-CN"/>
        </w:rPr>
        <w:t>企业</w:t>
      </w:r>
      <w:r>
        <w:rPr>
          <w:rFonts w:hint="default"/>
        </w:rPr>
        <w:t>超排污水的排放会引起引起</w:t>
      </w:r>
      <w:r>
        <w:rPr>
          <w:rFonts w:hint="eastAsia"/>
          <w:lang w:val="en-US" w:eastAsia="zh-CN"/>
        </w:rPr>
        <w:t>赣州经开区污水处理厂</w:t>
      </w:r>
      <w:r>
        <w:rPr>
          <w:rFonts w:hint="default"/>
        </w:rPr>
        <w:t>进水部分时段达到高峰期或超过设计进水标准</w:t>
      </w:r>
      <w:r>
        <w:rPr>
          <w:rFonts w:hint="default"/>
          <w:lang w:eastAsia="zh-CN"/>
        </w:rPr>
        <w:t>。</w:t>
      </w:r>
      <w:r>
        <w:rPr>
          <w:rFonts w:hint="default"/>
        </w:rPr>
        <w:t>由于此类问题来自各个不同方面的相互影响，且污水处理厂外源性环境风险是多方面的。</w:t>
      </w:r>
    </w:p>
    <w:p>
      <w:pPr>
        <w:pStyle w:val="14"/>
        <w:rPr>
          <w:rFonts w:hint="default"/>
        </w:rPr>
      </w:pPr>
      <w:r>
        <w:rPr>
          <w:rFonts w:hint="default"/>
        </w:rPr>
        <w:t>综合分析可知，外源性环境风险对污水处理厂的正常运行会产生一定的影响。但是，这些外源性环境影响来自外界多方面，需要多方努力协调才能解决。因此，本次预案外源性风险源不列入。</w:t>
      </w:r>
    </w:p>
    <w:p>
      <w:pPr>
        <w:pStyle w:val="14"/>
        <w:rPr>
          <w:rFonts w:hint="default"/>
          <w:lang w:val="en-US" w:eastAsia="zh-CN"/>
        </w:rPr>
      </w:pPr>
      <w:bookmarkStart w:id="220" w:name="_Toc19576_WPSOffice_Level2"/>
      <w:bookmarkStart w:id="221" w:name="_Toc16750"/>
      <w:bookmarkStart w:id="222" w:name="_Toc28082_WPSOffice_Level2"/>
      <w:bookmarkStart w:id="223" w:name="_Toc24735_WPSOffice_Level2"/>
      <w:r>
        <w:rPr>
          <w:rFonts w:hint="eastAsia"/>
          <w:lang w:val="en-US" w:eastAsia="zh-CN"/>
        </w:rPr>
        <w:t>5、</w:t>
      </w:r>
      <w:r>
        <w:rPr>
          <w:rFonts w:hint="default"/>
          <w:lang w:val="en-US" w:eastAsia="zh-CN"/>
        </w:rPr>
        <w:t>公用及辅助工程</w:t>
      </w:r>
      <w:bookmarkEnd w:id="220"/>
      <w:bookmarkEnd w:id="221"/>
      <w:bookmarkEnd w:id="222"/>
      <w:bookmarkEnd w:id="223"/>
    </w:p>
    <w:p>
      <w:pPr>
        <w:pStyle w:val="14"/>
        <w:rPr>
          <w:rFonts w:hint="default"/>
          <w:lang w:val="en-US" w:eastAsia="zh-CN"/>
        </w:rPr>
      </w:pPr>
      <w:r>
        <w:rPr>
          <w:rFonts w:hint="default"/>
          <w:lang w:val="zh-CN"/>
        </w:rPr>
        <w:t>运行过程中工作人员日常生活产生的生活污水、生产污水等通过厂内污水管道收集后自流汇入粗格栅池，与进厂污水一并处理，</w:t>
      </w:r>
      <w:r>
        <w:rPr>
          <w:rFonts w:hint="default"/>
          <w:lang w:val="en-US" w:eastAsia="zh-CN"/>
        </w:rPr>
        <w:t>处理达标后排入</w:t>
      </w:r>
      <w:r>
        <w:rPr>
          <w:rFonts w:hint="eastAsia"/>
          <w:lang w:val="en-US" w:eastAsia="zh-CN"/>
        </w:rPr>
        <w:t>赣江</w:t>
      </w:r>
      <w:r>
        <w:rPr>
          <w:rFonts w:hint="default"/>
          <w:lang w:val="en-US" w:eastAsia="zh-CN"/>
        </w:rPr>
        <w:t>。</w:t>
      </w:r>
    </w:p>
    <w:p>
      <w:pPr>
        <w:pStyle w:val="14"/>
        <w:rPr>
          <w:rFonts w:hint="default"/>
          <w:lang w:val="en-US" w:eastAsia="zh-CN"/>
        </w:rPr>
      </w:pPr>
      <w:r>
        <w:rPr>
          <w:rFonts w:hint="default"/>
          <w:lang w:val="en-US" w:eastAsia="zh-CN"/>
        </w:rPr>
        <w:t>在厂区靠近</w:t>
      </w:r>
      <w:r>
        <w:rPr>
          <w:rFonts w:hint="eastAsia"/>
          <w:lang w:val="en-US" w:eastAsia="zh-CN"/>
        </w:rPr>
        <w:t>综合楼</w:t>
      </w:r>
      <w:r>
        <w:rPr>
          <w:rFonts w:hint="default"/>
          <w:lang w:val="en-US" w:eastAsia="zh-CN"/>
        </w:rPr>
        <w:t>附近设10/0.4kV变配电室 1 座，由区域变电站引来两路 10kV电源，在变配电室、综合办公楼顶设置避雷带，接地采用 TN-S 方式。</w:t>
      </w:r>
    </w:p>
    <w:p>
      <w:pPr>
        <w:pStyle w:val="14"/>
        <w:rPr>
          <w:rFonts w:hint="default"/>
          <w:lang w:val="en-US" w:eastAsia="zh-CN"/>
        </w:rPr>
      </w:pPr>
      <w:r>
        <w:rPr>
          <w:rFonts w:hint="default"/>
          <w:lang w:val="en-US" w:eastAsia="zh-CN"/>
        </w:rPr>
        <w:t>自控系统采用集中管理、分散控制的模式，设计一个中央控制站、</w:t>
      </w:r>
      <w:r>
        <w:rPr>
          <w:rFonts w:hint="eastAsia"/>
          <w:lang w:val="en-US" w:eastAsia="zh-CN"/>
        </w:rPr>
        <w:t>一个</w:t>
      </w:r>
      <w:r>
        <w:rPr>
          <w:rFonts w:hint="default"/>
          <w:lang w:val="en-US" w:eastAsia="zh-CN"/>
        </w:rPr>
        <w:t xml:space="preserve">现场控制站。中央控制站设置在综合楼中控室，采用具有 C/S（客户机/服务器）结构形式的计算机网络，主要负责全厂的数据通讯和调度管理。现场控制站设置 </w:t>
      </w:r>
      <w:r>
        <w:rPr>
          <w:rFonts w:hint="eastAsia"/>
          <w:lang w:val="en-US" w:eastAsia="zh-CN"/>
        </w:rPr>
        <w:t>有</w:t>
      </w:r>
      <w:r>
        <w:rPr>
          <w:rFonts w:hint="default"/>
          <w:lang w:val="en-US" w:eastAsia="zh-CN"/>
        </w:rPr>
        <w:t>PLC 控制站，PLC 控制站设置在配电中心，负责污水提升泵站、细格栅及沉砂池、配电中心等建构筑物的检测、控制相关仪表的供电。</w:t>
      </w:r>
    </w:p>
    <w:p>
      <w:pPr>
        <w:pStyle w:val="14"/>
        <w:rPr>
          <w:rFonts w:hint="default"/>
          <w:lang w:val="en-US" w:eastAsia="zh-CN"/>
        </w:rPr>
      </w:pPr>
      <w:bookmarkStart w:id="224" w:name="_Toc793_WPSOffice_Level2"/>
      <w:bookmarkStart w:id="225" w:name="_Toc21938_WPSOffice_Level2"/>
      <w:bookmarkStart w:id="226" w:name="_Toc5147_WPSOffice_Level2"/>
      <w:r>
        <w:rPr>
          <w:rFonts w:hint="eastAsia"/>
          <w:lang w:val="en-US" w:eastAsia="zh-CN"/>
        </w:rPr>
        <w:t>6、</w:t>
      </w:r>
      <w:r>
        <w:rPr>
          <w:rFonts w:hint="default"/>
          <w:lang w:val="en-US" w:eastAsia="zh-CN"/>
        </w:rPr>
        <w:t>电气仪表设备</w:t>
      </w:r>
      <w:bookmarkEnd w:id="224"/>
      <w:bookmarkEnd w:id="225"/>
      <w:bookmarkEnd w:id="226"/>
    </w:p>
    <w:p>
      <w:pPr>
        <w:pStyle w:val="14"/>
        <w:rPr>
          <w:rFonts w:hint="default"/>
        </w:rPr>
      </w:pPr>
      <w:r>
        <w:rPr>
          <w:rFonts w:hint="eastAsia"/>
          <w:lang w:val="en-US" w:eastAsia="zh-CN"/>
        </w:rPr>
        <w:t>赣州经开区污水处理厂</w:t>
      </w:r>
      <w:r>
        <w:rPr>
          <w:rFonts w:hint="default"/>
        </w:rPr>
        <w:t>电气和仪表专业的设计中严格按照电气防爆设计规范执行，设计中将能产生电火花的设备远离配电室，并采用密闭电器。设计良好接地系统，保证电机和电缆不出现危险的接触电压，对于仪表灯具、按纽、保护装置全部选用密闭型。</w:t>
      </w:r>
    </w:p>
    <w:p>
      <w:pPr>
        <w:pStyle w:val="14"/>
        <w:rPr>
          <w:rFonts w:hint="default"/>
        </w:rPr>
      </w:pPr>
      <w:r>
        <w:rPr>
          <w:rFonts w:hint="default"/>
        </w:rPr>
        <w:t>电气设计中防雷、防静电按防雷防静电规范要求，对设备及管道均作防静电接地处理。对于建构筑物均采用避雷针避雷方式，同时设有良好的接地系统，并连成接地网。</w:t>
      </w:r>
    </w:p>
    <w:p>
      <w:pPr>
        <w:pStyle w:val="14"/>
        <w:rPr>
          <w:rFonts w:hint="default"/>
          <w:lang w:val="en-US" w:eastAsia="zh-CN"/>
        </w:rPr>
      </w:pPr>
      <w:bookmarkStart w:id="227" w:name="_Toc12844_WPSOffice_Level2"/>
      <w:bookmarkStart w:id="228" w:name="_Toc2297_WPSOffice_Level2"/>
      <w:bookmarkStart w:id="229" w:name="_Toc164_WPSOffice_Level2"/>
      <w:r>
        <w:rPr>
          <w:rFonts w:hint="eastAsia"/>
          <w:lang w:val="en-US" w:eastAsia="zh-CN"/>
        </w:rPr>
        <w:t>7、</w:t>
      </w:r>
      <w:r>
        <w:rPr>
          <w:rFonts w:hint="default"/>
          <w:lang w:val="en-US" w:eastAsia="zh-CN"/>
        </w:rPr>
        <w:t>进出水水质超标</w:t>
      </w:r>
      <w:bookmarkEnd w:id="227"/>
      <w:bookmarkEnd w:id="228"/>
      <w:bookmarkEnd w:id="229"/>
    </w:p>
    <w:p>
      <w:pPr>
        <w:pStyle w:val="14"/>
        <w:rPr>
          <w:rFonts w:hint="default" w:ascii="Times New Roman" w:hAnsi="Times New Roman" w:cs="Times New Roman"/>
          <w:color w:val="auto"/>
          <w:kern w:val="0"/>
          <w:highlight w:val="none"/>
          <w:lang w:val="en-US" w:eastAsia="zh-CN"/>
        </w:rPr>
      </w:pPr>
      <w:r>
        <w:rPr>
          <w:rFonts w:hint="default"/>
          <w:lang w:val="en-US" w:eastAsia="zh-CN"/>
        </w:rPr>
        <w:t>企业设有进水水质监测系统，企业根据进水水质不同及时调整污水处理运行参数，比如延长处理时间、增加投放药剂等，短时间超标经过调解运行参数不会对污水处理单元造成影响，本厂纳污范围内无排放大量污水的工业企业，一般不会导致进水长期大量超标；对出水水质进行监测统计，在发现尾水中污染因子有逐渐升高的趋势时，检查对应的处理单元、控制参数，并及时进行调整，使出水水质在合理的范围内波动。</w:t>
      </w:r>
    </w:p>
    <w:p>
      <w:pPr>
        <w:pStyle w:val="21"/>
        <w:rPr>
          <w:rFonts w:hint="default"/>
        </w:rPr>
      </w:pPr>
      <w:bookmarkStart w:id="230" w:name="_Toc4388_WPSOffice_Level2"/>
      <w:bookmarkStart w:id="231" w:name="_Toc4108"/>
      <w:bookmarkStart w:id="232" w:name="_Toc8016"/>
      <w:bookmarkStart w:id="233" w:name="_Toc1254_WPSOffice_Level2"/>
      <w:bookmarkStart w:id="234" w:name="_Toc16154"/>
      <w:r>
        <w:rPr>
          <w:rFonts w:hint="eastAsia"/>
          <w:lang w:val="en-US" w:eastAsia="zh-CN"/>
        </w:rPr>
        <w:t>3.1.3</w:t>
      </w:r>
      <w:r>
        <w:rPr>
          <w:rFonts w:hint="default"/>
          <w:lang w:val="en-US" w:eastAsia="zh-CN"/>
        </w:rPr>
        <w:t>环境风险源统计</w:t>
      </w:r>
      <w:bookmarkEnd w:id="230"/>
      <w:bookmarkEnd w:id="231"/>
      <w:bookmarkEnd w:id="232"/>
      <w:bookmarkEnd w:id="233"/>
      <w:bookmarkEnd w:id="234"/>
    </w:p>
    <w:p>
      <w:pPr>
        <w:pStyle w:val="14"/>
        <w:rPr>
          <w:rFonts w:hint="default"/>
          <w:lang w:val="en-US" w:eastAsia="zh-CN"/>
        </w:rPr>
      </w:pPr>
      <w:r>
        <w:rPr>
          <w:rFonts w:hint="default"/>
          <w:lang w:val="en-US" w:eastAsia="zh-CN"/>
        </w:rPr>
        <w:t>综上，本预案根据</w:t>
      </w:r>
      <w:r>
        <w:rPr>
          <w:rFonts w:hint="eastAsia"/>
          <w:lang w:val="en-US" w:eastAsia="zh-CN"/>
        </w:rPr>
        <w:t>赣州经开区污水处理厂</w:t>
      </w:r>
      <w:r>
        <w:rPr>
          <w:rFonts w:hint="default"/>
          <w:lang w:val="en-US" w:eastAsia="zh-CN"/>
        </w:rPr>
        <w:t>的运行状况、原辅材料、生产工艺和污染物危险特性、生产设备特点等，对工程运行可能存在的环境风险源及突发环境事件进行统计，其统计情况见下表。</w:t>
      </w:r>
    </w:p>
    <w:p>
      <w:pPr>
        <w:pStyle w:val="16"/>
        <w:rPr>
          <w:rFonts w:hint="default"/>
          <w:lang w:val="en-US" w:eastAsia="zh-CN"/>
        </w:rPr>
      </w:pPr>
      <w:r>
        <w:rPr>
          <w:rFonts w:hint="default"/>
          <w:lang w:val="en-US" w:eastAsia="zh-CN"/>
        </w:rPr>
        <w:t>表3.1-</w:t>
      </w:r>
      <w:r>
        <w:rPr>
          <w:rFonts w:hint="eastAsia"/>
          <w:lang w:val="en-US" w:eastAsia="zh-CN"/>
        </w:rPr>
        <w:t>3</w:t>
      </w:r>
      <w:r>
        <w:rPr>
          <w:rFonts w:hint="default"/>
          <w:lang w:val="en-US" w:eastAsia="zh-CN"/>
        </w:rPr>
        <w:t xml:space="preserve">  </w:t>
      </w:r>
      <w:r>
        <w:rPr>
          <w:rFonts w:hint="eastAsia"/>
          <w:lang w:val="en-US" w:eastAsia="zh-CN"/>
        </w:rPr>
        <w:t>赣州经开区污水处理厂</w:t>
      </w:r>
      <w:r>
        <w:rPr>
          <w:rFonts w:hint="default"/>
          <w:lang w:val="en-US" w:eastAsia="zh-CN"/>
        </w:rPr>
        <w:t>环境风险源统计表</w:t>
      </w:r>
    </w:p>
    <w:tbl>
      <w:tblPr>
        <w:tblStyle w:val="11"/>
        <w:tblW w:w="833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1382"/>
        <w:gridCol w:w="2390"/>
        <w:gridCol w:w="1669"/>
        <w:gridCol w:w="165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617" w:type="dxa"/>
            <w:gridSpan w:val="2"/>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环境风险源</w:t>
            </w:r>
          </w:p>
        </w:tc>
        <w:tc>
          <w:tcPr>
            <w:tcW w:w="2390"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事故原因</w:t>
            </w:r>
          </w:p>
        </w:tc>
        <w:tc>
          <w:tcPr>
            <w:tcW w:w="1669"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影响范围</w:t>
            </w:r>
          </w:p>
        </w:tc>
        <w:tc>
          <w:tcPr>
            <w:tcW w:w="165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事故易发场所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235" w:type="dxa"/>
            <w:vMerge w:val="restart"/>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污水非正常排放</w:t>
            </w:r>
          </w:p>
        </w:tc>
        <w:tc>
          <w:tcPr>
            <w:tcW w:w="1382"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污水溢流</w:t>
            </w:r>
          </w:p>
        </w:tc>
        <w:tc>
          <w:tcPr>
            <w:tcW w:w="2390"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rPr>
              <w:t>长时间停电</w:t>
            </w:r>
            <w:r>
              <w:rPr>
                <w:rFonts w:hint="eastAsia"/>
                <w:lang w:eastAsia="zh-CN"/>
              </w:rPr>
              <w:t>、</w:t>
            </w:r>
            <w:r>
              <w:rPr>
                <w:rFonts w:hint="eastAsia"/>
              </w:rPr>
              <w:t>污水水泵损坏排水不畅</w:t>
            </w:r>
            <w:r>
              <w:rPr>
                <w:rFonts w:hint="eastAsia"/>
                <w:lang w:eastAsia="zh-CN"/>
              </w:rPr>
              <w:t>、雨季暴雨、管网外部水渗入、污水处理厂超负荷运行等易</w:t>
            </w:r>
            <w:r>
              <w:rPr>
                <w:rFonts w:hint="eastAsia"/>
              </w:rPr>
              <w:t>引起污水漫溢</w:t>
            </w:r>
          </w:p>
        </w:tc>
        <w:tc>
          <w:tcPr>
            <w:tcW w:w="1669"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厂区周围地表水、地下水</w:t>
            </w:r>
          </w:p>
        </w:tc>
        <w:tc>
          <w:tcPr>
            <w:tcW w:w="165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污水管道、污水处理构筑物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235" w:type="dxa"/>
            <w:vMerge w:val="continue"/>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p>
        </w:tc>
        <w:tc>
          <w:tcPr>
            <w:tcW w:w="1382"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因各种原因导致尾水排放超过设计出水水质标准</w:t>
            </w:r>
          </w:p>
        </w:tc>
        <w:tc>
          <w:tcPr>
            <w:tcW w:w="2390"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进水水质异常、停电、污水处理系统出现故障（如活性污泥运行不稳定、曝气设备、加药设备、消毒及其它设备故障等）</w:t>
            </w:r>
          </w:p>
        </w:tc>
        <w:tc>
          <w:tcPr>
            <w:tcW w:w="1669"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直接对纳污水体</w:t>
            </w:r>
            <w:r>
              <w:rPr>
                <w:rFonts w:hint="eastAsia" w:cs="Times New Roman"/>
                <w:color w:val="auto"/>
                <w:highlight w:val="none"/>
                <w:u w:val="none"/>
                <w:lang w:val="en-US" w:eastAsia="zh-CN"/>
              </w:rPr>
              <w:t>赣江</w:t>
            </w:r>
          </w:p>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的水质造成影响</w:t>
            </w:r>
          </w:p>
        </w:tc>
        <w:tc>
          <w:tcPr>
            <w:tcW w:w="165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污水处理构筑物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617" w:type="dxa"/>
            <w:gridSpan w:val="2"/>
            <w:vMerge w:val="restart"/>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化学品泄漏事故</w:t>
            </w:r>
          </w:p>
        </w:tc>
        <w:tc>
          <w:tcPr>
            <w:tcW w:w="2390"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实验室内的化学药剂发生泄漏事故</w:t>
            </w:r>
          </w:p>
        </w:tc>
        <w:tc>
          <w:tcPr>
            <w:tcW w:w="1669"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对实验室的桌面、地面造成污染</w:t>
            </w:r>
          </w:p>
        </w:tc>
        <w:tc>
          <w:tcPr>
            <w:tcW w:w="1658" w:type="dxa"/>
            <w:vMerge w:val="restart"/>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实验室、加药间、生产区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617" w:type="dxa"/>
            <w:gridSpan w:val="2"/>
            <w:vMerge w:val="continue"/>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p>
        </w:tc>
        <w:tc>
          <w:tcPr>
            <w:tcW w:w="2390"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润滑油</w:t>
            </w:r>
          </w:p>
        </w:tc>
        <w:tc>
          <w:tcPr>
            <w:tcW w:w="1669" w:type="dxa"/>
            <w:vMerge w:val="restart"/>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通过厂区管网进入污水厂进水口</w:t>
            </w:r>
          </w:p>
        </w:tc>
        <w:tc>
          <w:tcPr>
            <w:tcW w:w="1658" w:type="dxa"/>
            <w:vMerge w:val="continue"/>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617" w:type="dxa"/>
            <w:gridSpan w:val="2"/>
            <w:vMerge w:val="continue"/>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p>
        </w:tc>
        <w:tc>
          <w:tcPr>
            <w:tcW w:w="2390"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PAM、PAC溶液泄漏</w:t>
            </w:r>
          </w:p>
        </w:tc>
        <w:tc>
          <w:tcPr>
            <w:tcW w:w="1669" w:type="dxa"/>
            <w:vMerge w:val="continue"/>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p>
        </w:tc>
        <w:tc>
          <w:tcPr>
            <w:tcW w:w="1658" w:type="dxa"/>
            <w:vMerge w:val="continue"/>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617" w:type="dxa"/>
            <w:gridSpan w:val="2"/>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lang w:eastAsia="zh-CN"/>
              </w:rPr>
              <w:t>毒害气体产生</w:t>
            </w:r>
          </w:p>
        </w:tc>
        <w:tc>
          <w:tcPr>
            <w:tcW w:w="2390" w:type="dxa"/>
            <w:tcBorders>
              <w:tl2br w:val="nil"/>
              <w:tr2bl w:val="nil"/>
            </w:tcBorders>
            <w:vAlign w:val="center"/>
          </w:tcPr>
          <w:p>
            <w:pPr>
              <w:pStyle w:val="18"/>
              <w:rPr>
                <w:rFonts w:hint="eastAsia"/>
                <w:lang w:val="en-US" w:eastAsia="zh-CN"/>
              </w:rPr>
            </w:pPr>
            <w:r>
              <w:rPr>
                <w:rFonts w:hint="eastAsia"/>
                <w:lang w:val="en-US" w:eastAsia="zh-CN"/>
              </w:rPr>
              <w:t>污泥池、污泥泵房等污泥堆放区因污泥无法及时清理造成堆积时间过长、无法及时曝气，形成无氧条件，可能产生少量甲烷；</w:t>
            </w:r>
          </w:p>
          <w:p>
            <w:pPr>
              <w:pStyle w:val="18"/>
              <w:rPr>
                <w:rFonts w:hint="default" w:ascii="Times New Roman" w:hAnsi="Times New Roman" w:cs="Times New Roman"/>
                <w:color w:val="auto"/>
                <w:highlight w:val="none"/>
                <w:u w:val="none"/>
                <w:lang w:val="en-US" w:eastAsia="zh-CN"/>
              </w:rPr>
            </w:pPr>
            <w:r>
              <w:t>在管道和集水井等设备或构筑物中，因平日所贮污水内含各种污染物，经微生物作用等因素产生有毒有害气体</w:t>
            </w:r>
          </w:p>
        </w:tc>
        <w:tc>
          <w:tcPr>
            <w:tcW w:w="1669"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厂区内</w:t>
            </w:r>
          </w:p>
        </w:tc>
        <w:tc>
          <w:tcPr>
            <w:tcW w:w="165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污泥处理区、检查井</w:t>
            </w:r>
          </w:p>
        </w:tc>
      </w:tr>
    </w:tbl>
    <w:p>
      <w:pPr>
        <w:pStyle w:val="20"/>
        <w:rPr>
          <w:rFonts w:hint="eastAsia"/>
          <w:lang w:val="en-US" w:eastAsia="zh-CN"/>
        </w:rPr>
      </w:pPr>
      <w:bookmarkStart w:id="235" w:name="_Toc18389_WPSOffice_Level1"/>
      <w:bookmarkStart w:id="236" w:name="_Toc21159"/>
      <w:bookmarkStart w:id="237" w:name="_Toc14117"/>
      <w:bookmarkStart w:id="238" w:name="_Toc32048"/>
      <w:r>
        <w:rPr>
          <w:rFonts w:hint="eastAsia"/>
          <w:lang w:val="en-US" w:eastAsia="zh-CN"/>
        </w:rPr>
        <w:t>3.2环境风险源突发事件分级</w:t>
      </w:r>
      <w:bookmarkEnd w:id="235"/>
    </w:p>
    <w:p>
      <w:pPr>
        <w:pStyle w:val="14"/>
        <w:rPr>
          <w:rFonts w:hint="default"/>
        </w:rPr>
      </w:pPr>
      <w:r>
        <w:rPr>
          <w:rFonts w:hint="default"/>
        </w:rPr>
        <w:t>根据突发环境污染事件的严重性可分为特别重大环境事件（Ⅰ级）、重大环境事件（Ⅱ级）、较大环境事件（Ⅲ级）和一般环境事件（Ⅳ级）。</w:t>
      </w:r>
    </w:p>
    <w:p>
      <w:pPr>
        <w:pStyle w:val="14"/>
        <w:rPr>
          <w:rFonts w:hint="default"/>
        </w:rPr>
      </w:pPr>
      <w:r>
        <w:rPr>
          <w:rFonts w:hint="default"/>
        </w:rPr>
        <w:t>根据事态的发展情况和采取措施的效果，预警级别可以升级、降级或解除。</w:t>
      </w:r>
    </w:p>
    <w:p>
      <w:pPr>
        <w:pStyle w:val="14"/>
        <w:rPr>
          <w:rFonts w:hint="default"/>
        </w:rPr>
      </w:pPr>
      <w:r>
        <w:rPr>
          <w:rFonts w:hint="default"/>
        </w:rPr>
        <w:t>特别重大事故（Ⅰ级）：在化学品生产、经营、储存、运输、使用和废弃过程中发生的特别重大火灾事故、爆炸事故、易燃、易爆或有毒物质泄漏事故，已经严重危及周边地区居民的生命财产安全，造成或可能造成30人以上死亡，或 100 人以上中毒，或1亿元以上直接经济损失，或特别重大社会影响，事故事态发展严重，且亟待外部力量应急救援等。</w:t>
      </w:r>
    </w:p>
    <w:p>
      <w:pPr>
        <w:pStyle w:val="14"/>
        <w:rPr>
          <w:rFonts w:hint="default"/>
        </w:rPr>
      </w:pPr>
      <w:r>
        <w:rPr>
          <w:rFonts w:hint="default"/>
        </w:rPr>
        <w:t>重大事故（Ⅱ级）：在化学品生产、经营、储存、运输、使用和废弃危险化学品处置等过程发生的火灾事故、爆炸事故、易燃、易爆或有毒物质泄漏事故，已经危及周边地区居民的生命财产安全，造成或可能造成 10～29 人死亡，或 50～100 人中毒，或 5000万元以上、1 亿元以下的事故直接经济损失，或重大社会影响等。</w:t>
      </w:r>
    </w:p>
    <w:p>
      <w:pPr>
        <w:pStyle w:val="14"/>
        <w:rPr>
          <w:rFonts w:hint="default"/>
        </w:rPr>
      </w:pPr>
      <w:r>
        <w:rPr>
          <w:rFonts w:hint="default"/>
        </w:rPr>
        <w:t>较大事故（Ⅲ级）：在化学品生产、经营、储存、运输、使用和废弃危险化学品处置等过程发生的火灾事故、爆炸事故、易燃、易爆或有毒物质泄漏事故，已经危及周边地区居民的生命财产安全，造成或可能造成3～9人死亡，或30～50人中毒，或 1000万元以上、5000 万元以下直接经济损失，或较大社会影响等。</w:t>
      </w:r>
    </w:p>
    <w:p>
      <w:pPr>
        <w:pStyle w:val="14"/>
        <w:rPr>
          <w:rFonts w:hint="eastAsia" w:eastAsia="宋体"/>
          <w:lang w:eastAsia="zh-CN"/>
        </w:rPr>
      </w:pPr>
      <w:r>
        <w:rPr>
          <w:rFonts w:hint="default"/>
        </w:rPr>
        <w:t>一般事故（Ⅳ级）：在化学品生产、经营、储存、运输、使用和废弃危险化学品处置等过程发生的火灾事故、爆炸事故、易燃、易爆或有毒物质泄漏事故，已经危及周边地区居民的生命财产安全，造成或可能造成3人以下死亡，或30人以下中毒，或500万元以上、1000万元以下直接经济损失，或一定社会影响等</w:t>
      </w:r>
      <w:r>
        <w:rPr>
          <w:rFonts w:hint="eastAsia"/>
          <w:lang w:eastAsia="zh-CN"/>
        </w:rPr>
        <w:t>。</w:t>
      </w:r>
    </w:p>
    <w:p>
      <w:pPr>
        <w:pStyle w:val="14"/>
        <w:rPr>
          <w:rFonts w:hint="default"/>
        </w:rPr>
      </w:pPr>
      <w:r>
        <w:rPr>
          <w:rFonts w:hint="default"/>
        </w:rPr>
        <w:t>按照严重性、紧急程度和可能波及的范围，</w:t>
      </w:r>
      <w:r>
        <w:rPr>
          <w:rFonts w:hint="eastAsia"/>
          <w:lang w:eastAsia="zh-CN"/>
        </w:rPr>
        <w:t>赣州经开区污水处理厂</w:t>
      </w:r>
      <w:r>
        <w:rPr>
          <w:rFonts w:hint="default"/>
        </w:rPr>
        <w:t>突发环境事件预警级别分为Ⅲ级（车间级）、Ⅱ级（厂区级）、Ⅰ级（流域级），预警级别与可能发生的突发环境事件等级对应，见下表。</w:t>
      </w:r>
    </w:p>
    <w:p>
      <w:pPr>
        <w:pStyle w:val="16"/>
        <w:rPr>
          <w:rFonts w:hint="default"/>
        </w:rPr>
      </w:pPr>
      <w:r>
        <w:rPr>
          <w:rFonts w:hint="default"/>
        </w:rPr>
        <w:t>表</w:t>
      </w:r>
      <w:r>
        <w:rPr>
          <w:rFonts w:hint="eastAsia"/>
          <w:lang w:val="en-US" w:eastAsia="zh-CN"/>
        </w:rPr>
        <w:t>3.2</w:t>
      </w:r>
      <w:r>
        <w:rPr>
          <w:rFonts w:hint="default"/>
        </w:rPr>
        <w:t>-1  突发环境事件预警分级表</w:t>
      </w:r>
    </w:p>
    <w:tbl>
      <w:tblPr>
        <w:tblStyle w:val="10"/>
        <w:tblW w:w="833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21"/>
        <w:gridCol w:w="4209"/>
        <w:gridCol w:w="280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21" w:type="dxa"/>
            <w:tcBorders>
              <w:tl2br w:val="nil"/>
              <w:tr2bl w:val="nil"/>
            </w:tcBorders>
            <w:vAlign w:val="center"/>
          </w:tcPr>
          <w:p>
            <w:pPr>
              <w:pStyle w:val="18"/>
              <w:rPr>
                <w:rFonts w:hint="default"/>
                <w:lang w:val="en-US" w:eastAsia="zh-CN"/>
              </w:rPr>
            </w:pPr>
            <w:r>
              <w:rPr>
                <w:rFonts w:hint="default"/>
                <w:lang w:val="en-US" w:eastAsia="zh-CN"/>
              </w:rPr>
              <w:t>预警等级</w:t>
            </w:r>
          </w:p>
        </w:tc>
        <w:tc>
          <w:tcPr>
            <w:tcW w:w="4209" w:type="dxa"/>
            <w:tcBorders>
              <w:tl2br w:val="nil"/>
              <w:tr2bl w:val="nil"/>
            </w:tcBorders>
            <w:vAlign w:val="center"/>
          </w:tcPr>
          <w:p>
            <w:pPr>
              <w:pStyle w:val="18"/>
              <w:rPr>
                <w:rFonts w:hint="default"/>
                <w:lang w:val="en-US" w:eastAsia="zh-CN"/>
              </w:rPr>
            </w:pPr>
            <w:r>
              <w:rPr>
                <w:rFonts w:hint="default"/>
                <w:lang w:val="en-US" w:eastAsia="zh-CN"/>
              </w:rPr>
              <w:t>等级确定方法</w:t>
            </w:r>
          </w:p>
        </w:tc>
        <w:tc>
          <w:tcPr>
            <w:tcW w:w="2804" w:type="dxa"/>
            <w:tcBorders>
              <w:tl2br w:val="nil"/>
              <w:tr2bl w:val="nil"/>
            </w:tcBorders>
            <w:vAlign w:val="center"/>
          </w:tcPr>
          <w:p>
            <w:pPr>
              <w:pStyle w:val="18"/>
              <w:rPr>
                <w:rFonts w:hint="default"/>
                <w:lang w:val="en-US" w:eastAsia="zh-CN"/>
              </w:rPr>
            </w:pPr>
            <w:r>
              <w:rPr>
                <w:rFonts w:hint="default"/>
                <w:lang w:val="en-US" w:eastAsia="zh-CN"/>
              </w:rPr>
              <w:t>与项目相对应的环境事件</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21" w:type="dxa"/>
            <w:tcBorders>
              <w:tl2br w:val="nil"/>
              <w:tr2bl w:val="nil"/>
            </w:tcBorders>
            <w:vAlign w:val="center"/>
          </w:tcPr>
          <w:p>
            <w:pPr>
              <w:pStyle w:val="18"/>
              <w:ind w:firstLine="0" w:firstLineChars="0"/>
              <w:rPr>
                <w:rFonts w:hint="default"/>
                <w:lang w:val="en-US" w:eastAsia="zh-CN"/>
              </w:rPr>
            </w:pPr>
            <w:r>
              <w:rPr>
                <w:rFonts w:hint="default"/>
                <w:lang w:val="en-US" w:eastAsia="zh-CN"/>
              </w:rPr>
              <w:t>Ⅰ级预警</w:t>
            </w:r>
          </w:p>
        </w:tc>
        <w:tc>
          <w:tcPr>
            <w:tcW w:w="4209" w:type="dxa"/>
            <w:tcBorders>
              <w:tl2br w:val="nil"/>
              <w:tr2bl w:val="nil"/>
            </w:tcBorders>
            <w:vAlign w:val="center"/>
          </w:tcPr>
          <w:p>
            <w:pPr>
              <w:pStyle w:val="18"/>
              <w:ind w:firstLine="0" w:firstLineChars="0"/>
              <w:rPr>
                <w:rFonts w:hint="default"/>
                <w:lang w:val="en-US" w:eastAsia="zh-CN"/>
              </w:rPr>
            </w:pPr>
            <w:r>
              <w:rPr>
                <w:rFonts w:hint="default"/>
                <w:lang w:val="en-US" w:eastAsia="zh-CN"/>
              </w:rPr>
              <w:t>突发事件已经进入场外，情况十分紧迫，需要一定时间才能得到处置控制，如果不采取措施，将会严重影响到</w:t>
            </w:r>
            <w:r>
              <w:rPr>
                <w:rFonts w:hint="eastAsia"/>
                <w:lang w:val="en-US" w:eastAsia="zh-CN"/>
              </w:rPr>
              <w:t>赣州经开区污水处理厂</w:t>
            </w:r>
            <w:r>
              <w:rPr>
                <w:rFonts w:hint="default"/>
                <w:lang w:val="en-US" w:eastAsia="zh-CN"/>
              </w:rPr>
              <w:t>的外部环境</w:t>
            </w:r>
          </w:p>
        </w:tc>
        <w:tc>
          <w:tcPr>
            <w:tcW w:w="2804" w:type="dxa"/>
            <w:tcBorders>
              <w:tl2br w:val="nil"/>
              <w:tr2bl w:val="nil"/>
            </w:tcBorders>
            <w:vAlign w:val="center"/>
          </w:tcPr>
          <w:p>
            <w:pPr>
              <w:pStyle w:val="18"/>
              <w:ind w:firstLine="0" w:firstLineChars="0"/>
              <w:rPr>
                <w:rFonts w:hint="default"/>
                <w:lang w:eastAsia="zh-CN"/>
              </w:rPr>
            </w:pPr>
            <w:r>
              <w:rPr>
                <w:rFonts w:hint="default"/>
                <w:lang w:eastAsia="zh-CN"/>
              </w:rPr>
              <w:t>发生大范围火灾、爆炸事故时产生的次生污染，如消防水外泄、浓烟扩散等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21" w:type="dxa"/>
            <w:tcBorders>
              <w:tl2br w:val="nil"/>
              <w:tr2bl w:val="nil"/>
            </w:tcBorders>
            <w:vAlign w:val="center"/>
          </w:tcPr>
          <w:p>
            <w:pPr>
              <w:pStyle w:val="18"/>
              <w:rPr>
                <w:rFonts w:hint="default"/>
                <w:lang w:val="en-US" w:eastAsia="zh-CN"/>
              </w:rPr>
            </w:pPr>
            <w:r>
              <w:rPr>
                <w:rFonts w:hint="default"/>
                <w:lang w:val="en-US" w:eastAsia="zh-CN"/>
              </w:rPr>
              <w:t>Ⅱ级预警</w:t>
            </w:r>
          </w:p>
        </w:tc>
        <w:tc>
          <w:tcPr>
            <w:tcW w:w="4209" w:type="dxa"/>
            <w:tcBorders>
              <w:tl2br w:val="nil"/>
              <w:tr2bl w:val="nil"/>
            </w:tcBorders>
            <w:vAlign w:val="center"/>
          </w:tcPr>
          <w:p>
            <w:pPr>
              <w:pStyle w:val="18"/>
              <w:rPr>
                <w:rFonts w:hint="default"/>
                <w:lang w:val="en-US" w:eastAsia="zh-CN"/>
              </w:rPr>
            </w:pPr>
            <w:r>
              <w:rPr>
                <w:rFonts w:hint="default"/>
                <w:lang w:val="en-US" w:eastAsia="zh-CN"/>
              </w:rPr>
              <w:t>二级预警针对的突发事件有可能在场内，也有可能在场外但只有有限的扩散范围，可预料在极短时间内得到处置控制，或者消除污染源后影响很快就会消除，不会对外界环境产生长期或累积性影响以及造成人员伤亡</w:t>
            </w:r>
          </w:p>
        </w:tc>
        <w:tc>
          <w:tcPr>
            <w:tcW w:w="2804" w:type="dxa"/>
            <w:tcBorders>
              <w:tl2br w:val="nil"/>
              <w:tr2bl w:val="nil"/>
            </w:tcBorders>
            <w:vAlign w:val="center"/>
          </w:tcPr>
          <w:p>
            <w:pPr>
              <w:pStyle w:val="18"/>
              <w:rPr>
                <w:rFonts w:hint="eastAsia"/>
                <w:lang w:eastAsia="zh-CN"/>
              </w:rPr>
            </w:pPr>
            <w:r>
              <w:rPr>
                <w:rFonts w:hint="default"/>
                <w:lang w:eastAsia="zh-CN"/>
              </w:rPr>
              <w:t>①</w:t>
            </w:r>
            <w:r>
              <w:rPr>
                <w:rFonts w:hint="eastAsia"/>
                <w:lang w:eastAsia="zh-CN"/>
              </w:rPr>
              <w:t>毒害物质产生</w:t>
            </w:r>
          </w:p>
          <w:p>
            <w:pPr>
              <w:pStyle w:val="18"/>
              <w:rPr>
                <w:rFonts w:hint="eastAsia"/>
                <w:lang w:eastAsia="zh-CN"/>
              </w:rPr>
            </w:pPr>
            <w:r>
              <w:rPr>
                <w:rFonts w:hint="default"/>
                <w:lang w:eastAsia="zh-CN"/>
              </w:rPr>
              <w:t>②</w:t>
            </w:r>
            <w:r>
              <w:rPr>
                <w:rFonts w:hint="eastAsia"/>
                <w:lang w:eastAsia="zh-CN"/>
              </w:rPr>
              <w:t>污水超标排放</w:t>
            </w:r>
          </w:p>
          <w:p>
            <w:pPr>
              <w:pStyle w:val="18"/>
              <w:rPr>
                <w:rFonts w:hint="default"/>
                <w:lang w:val="en-US" w:eastAsia="zh-CN"/>
              </w:rPr>
            </w:pPr>
            <w:r>
              <w:rPr>
                <w:rFonts w:hint="default"/>
                <w:lang w:eastAsia="zh-CN"/>
              </w:rPr>
              <w:t>③</w:t>
            </w:r>
            <w:r>
              <w:rPr>
                <w:rFonts w:hint="eastAsia"/>
                <w:lang w:eastAsia="zh-CN"/>
              </w:rPr>
              <w:t>污水溢流</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21" w:type="dxa"/>
            <w:tcBorders>
              <w:tl2br w:val="nil"/>
              <w:tr2bl w:val="nil"/>
            </w:tcBorders>
            <w:vAlign w:val="center"/>
          </w:tcPr>
          <w:p>
            <w:pPr>
              <w:pStyle w:val="18"/>
              <w:rPr>
                <w:rFonts w:hint="default"/>
                <w:lang w:val="en-US" w:eastAsia="zh-CN"/>
              </w:rPr>
            </w:pPr>
            <w:r>
              <w:rPr>
                <w:rFonts w:hint="default"/>
                <w:lang w:val="en-US" w:eastAsia="zh-CN"/>
              </w:rPr>
              <w:t>Ⅲ级预警</w:t>
            </w:r>
          </w:p>
        </w:tc>
        <w:tc>
          <w:tcPr>
            <w:tcW w:w="4209" w:type="dxa"/>
            <w:tcBorders>
              <w:tl2br w:val="nil"/>
              <w:tr2bl w:val="nil"/>
            </w:tcBorders>
            <w:vAlign w:val="center"/>
          </w:tcPr>
          <w:p>
            <w:pPr>
              <w:pStyle w:val="18"/>
              <w:rPr>
                <w:rFonts w:hint="default"/>
                <w:lang w:val="en-US" w:eastAsia="zh-CN"/>
              </w:rPr>
            </w:pPr>
            <w:r>
              <w:rPr>
                <w:rFonts w:hint="default"/>
                <w:lang w:val="en-US" w:eastAsia="zh-CN"/>
              </w:rPr>
              <w:t>三级预警主要是突发环境事件尚未发生，或有已经发生但险情在较短时间内可以得到控制，不会给外环境造成明显影响，有足够时间进行准备的情况</w:t>
            </w:r>
          </w:p>
        </w:tc>
        <w:tc>
          <w:tcPr>
            <w:tcW w:w="2804" w:type="dxa"/>
            <w:tcBorders>
              <w:tl2br w:val="nil"/>
              <w:tr2bl w:val="nil"/>
            </w:tcBorders>
            <w:vAlign w:val="center"/>
          </w:tcPr>
          <w:p>
            <w:pPr>
              <w:pStyle w:val="18"/>
              <w:rPr>
                <w:rFonts w:hint="default"/>
                <w:lang w:eastAsia="zh-CN"/>
              </w:rPr>
            </w:pPr>
            <w:r>
              <w:rPr>
                <w:rFonts w:hint="default"/>
                <w:lang w:eastAsia="zh-CN"/>
              </w:rPr>
              <w:t>①机修仓库油品泄漏；</w:t>
            </w:r>
          </w:p>
          <w:p>
            <w:pPr>
              <w:pStyle w:val="18"/>
              <w:rPr>
                <w:rFonts w:hint="default"/>
                <w:lang w:eastAsia="zh-CN"/>
              </w:rPr>
            </w:pPr>
            <w:r>
              <w:rPr>
                <w:rFonts w:hint="default"/>
                <w:lang w:eastAsia="zh-CN"/>
              </w:rPr>
              <w:t>②PAM溶液泄漏；</w:t>
            </w:r>
          </w:p>
          <w:p>
            <w:pPr>
              <w:pStyle w:val="18"/>
              <w:rPr>
                <w:rFonts w:hint="default"/>
                <w:lang w:eastAsia="zh-CN"/>
              </w:rPr>
            </w:pPr>
            <w:r>
              <w:rPr>
                <w:rFonts w:hint="default"/>
                <w:lang w:eastAsia="zh-CN"/>
              </w:rPr>
              <w:t>③</w:t>
            </w:r>
            <w:r>
              <w:rPr>
                <w:rFonts w:hint="default"/>
                <w:lang w:val="en-US" w:eastAsia="zh-CN"/>
              </w:rPr>
              <w:t>PAC</w:t>
            </w:r>
            <w:r>
              <w:rPr>
                <w:rFonts w:hint="default"/>
                <w:lang w:eastAsia="zh-CN"/>
              </w:rPr>
              <w:t>溶液泄漏；</w:t>
            </w:r>
          </w:p>
        </w:tc>
      </w:tr>
    </w:tbl>
    <w:p>
      <w:pPr>
        <w:pStyle w:val="33"/>
        <w:ind w:firstLine="422"/>
        <w:jc w:val="both"/>
        <w:rPr>
          <w:rFonts w:hint="default" w:ascii="Times New Roman" w:hAnsi="Times New Roman" w:eastAsia="宋体" w:cs="Times New Roman"/>
          <w:i/>
          <w:iCs/>
          <w:color w:val="auto"/>
          <w:highlight w:val="none"/>
          <w:u w:val="none"/>
        </w:rPr>
      </w:pPr>
      <w:r>
        <w:rPr>
          <w:rFonts w:hint="default" w:ascii="Times New Roman" w:hAnsi="Times New Roman" w:eastAsia="宋体" w:cs="Times New Roman"/>
          <w:i/>
          <w:iCs/>
          <w:color w:val="auto"/>
          <w:highlight w:val="none"/>
          <w:u w:val="none"/>
        </w:rPr>
        <w:t>备注：可能发生不同等级突发环境事件时，取较高等级。</w:t>
      </w:r>
    </w:p>
    <w:p>
      <w:pPr>
        <w:pStyle w:val="20"/>
        <w:rPr>
          <w:rFonts w:hint="default"/>
        </w:rPr>
      </w:pPr>
      <w:bookmarkStart w:id="239" w:name="_Toc21105_WPSOffice_Level1"/>
      <w:r>
        <w:rPr>
          <w:rFonts w:hint="eastAsia"/>
          <w:lang w:val="en-US" w:eastAsia="zh-CN"/>
        </w:rPr>
        <w:t>3.</w:t>
      </w:r>
      <w:bookmarkEnd w:id="236"/>
      <w:bookmarkEnd w:id="237"/>
      <w:bookmarkEnd w:id="238"/>
      <w:r>
        <w:rPr>
          <w:rFonts w:hint="eastAsia"/>
          <w:lang w:val="en-US" w:eastAsia="zh-CN"/>
        </w:rPr>
        <w:t>3风险防范措施</w:t>
      </w:r>
      <w:bookmarkEnd w:id="239"/>
    </w:p>
    <w:p>
      <w:pPr>
        <w:pStyle w:val="14"/>
        <w:numPr>
          <w:ilvl w:val="0"/>
          <w:numId w:val="3"/>
        </w:numPr>
        <w:rPr>
          <w:rFonts w:hint="eastAsia"/>
          <w:lang w:val="en-US" w:eastAsia="zh-CN"/>
        </w:rPr>
      </w:pPr>
      <w:bookmarkStart w:id="240" w:name="_Toc11758"/>
      <w:r>
        <w:rPr>
          <w:rFonts w:hint="eastAsia"/>
          <w:lang w:val="en-US" w:eastAsia="zh-CN"/>
        </w:rPr>
        <w:t>污水渗流、溢流</w:t>
      </w:r>
    </w:p>
    <w:p>
      <w:pPr>
        <w:pStyle w:val="14"/>
        <w:rPr>
          <w:rFonts w:hint="eastAsia"/>
          <w:lang w:val="en-US" w:eastAsia="zh-CN"/>
        </w:rPr>
      </w:pPr>
      <w:r>
        <w:rPr>
          <w:rFonts w:hint="eastAsia"/>
          <w:lang w:val="en-US" w:eastAsia="zh-CN"/>
        </w:rPr>
        <w:t>项目建成时间为2018年8月，设备运行情况良好，管底、池低均铺设有防渗层，项目设计处理能力为1万吨/天，目前实际日处理量约为2000吨/天，设计处理能力远大于设计处理能力，且项目设有事故池，发生渗流、溢流可能性较小，环境风险可控。</w:t>
      </w:r>
    </w:p>
    <w:p>
      <w:pPr>
        <w:pStyle w:val="14"/>
        <w:rPr>
          <w:rFonts w:hint="eastAsia"/>
          <w:lang w:val="en-US" w:eastAsia="zh-CN"/>
        </w:rPr>
      </w:pPr>
      <w:r>
        <w:rPr>
          <w:rFonts w:hint="eastAsia"/>
          <w:lang w:val="en-US" w:eastAsia="zh-CN"/>
        </w:rPr>
        <w:t>项目运营过程中应定期进行设备检修，排除或避免因设备故障、管道破损、排水异常等原因造成的污水溢流；如污水处理厂满、超负荷运行或无法满足汛期污水处理要求，应及时上报，进行二期扩建；设置集水渠，将溢流废水收集泵入粗格栅，启动事故应急池，减少对周边水环境影响。</w:t>
      </w:r>
    </w:p>
    <w:p>
      <w:pPr>
        <w:pStyle w:val="14"/>
        <w:numPr>
          <w:ilvl w:val="0"/>
          <w:numId w:val="3"/>
        </w:numPr>
        <w:rPr>
          <w:rFonts w:hint="eastAsia"/>
          <w:lang w:val="en-US" w:eastAsia="zh-CN"/>
        </w:rPr>
      </w:pPr>
      <w:r>
        <w:rPr>
          <w:rFonts w:hint="eastAsia"/>
          <w:lang w:val="en-US" w:eastAsia="zh-CN"/>
        </w:rPr>
        <w:t>化学品泄露</w:t>
      </w:r>
    </w:p>
    <w:p>
      <w:pPr>
        <w:pStyle w:val="14"/>
        <w:rPr>
          <w:rFonts w:hint="default"/>
          <w:lang w:val="en-US" w:eastAsia="zh-CN"/>
        </w:rPr>
      </w:pPr>
      <w:r>
        <w:rPr>
          <w:rFonts w:hint="default"/>
          <w:lang w:val="en-US" w:eastAsia="zh-CN"/>
        </w:rPr>
        <w:t xml:space="preserve"> 企业</w:t>
      </w:r>
      <w:r>
        <w:rPr>
          <w:rFonts w:hint="eastAsia"/>
          <w:lang w:val="en-US" w:eastAsia="zh-CN"/>
        </w:rPr>
        <w:t>仓库、化验室、加药间存有多种化学药剂，少量泄露的时候通过清扫、吸附不会对周围环境造成影响，大量泄露时，应设围堰等控制泄露范围，收集泄露的油类物质、化学试剂作为一般固废处理，若泄露物质进入污水处理构筑物，则调整相应参数，避免尾水超标排放。仓库、化验室、加药间均已做防渗处理，</w:t>
      </w:r>
      <w:r>
        <w:rPr>
          <w:rFonts w:hint="default"/>
          <w:lang w:val="en-US" w:eastAsia="zh-CN"/>
        </w:rPr>
        <w:t>机修仓库建设围堰/集流沟等防流失措施，假如</w:t>
      </w:r>
      <w:r>
        <w:rPr>
          <w:rFonts w:hint="eastAsia"/>
          <w:lang w:val="en-US" w:eastAsia="zh-CN"/>
        </w:rPr>
        <w:t>化学品</w:t>
      </w:r>
      <w:r>
        <w:rPr>
          <w:rFonts w:hint="default"/>
          <w:lang w:val="en-US" w:eastAsia="zh-CN"/>
        </w:rPr>
        <w:t>发生泄漏，泄漏的</w:t>
      </w:r>
      <w:r>
        <w:rPr>
          <w:rFonts w:hint="eastAsia"/>
          <w:lang w:val="en-US" w:eastAsia="zh-CN"/>
        </w:rPr>
        <w:t>化学品能被</w:t>
      </w:r>
      <w:r>
        <w:rPr>
          <w:rFonts w:hint="default"/>
          <w:lang w:val="en-US" w:eastAsia="zh-CN"/>
        </w:rPr>
        <w:t>统一收集处理，对环境影响较小。</w:t>
      </w:r>
    </w:p>
    <w:p>
      <w:pPr>
        <w:pStyle w:val="14"/>
        <w:rPr>
          <w:rFonts w:hint="default"/>
          <w:lang w:val="en-US" w:eastAsia="zh-CN"/>
        </w:rPr>
      </w:pPr>
      <w:r>
        <w:rPr>
          <w:rFonts w:hint="eastAsia"/>
          <w:lang w:val="en-US" w:eastAsia="zh-CN"/>
        </w:rPr>
        <w:t>事故发生时应将</w:t>
      </w:r>
      <w:r>
        <w:rPr>
          <w:rFonts w:hint="default"/>
          <w:lang w:val="en-US" w:eastAsia="zh-CN"/>
        </w:rPr>
        <w:t>泄漏容器内的</w:t>
      </w:r>
      <w:r>
        <w:rPr>
          <w:rFonts w:hint="eastAsia"/>
          <w:lang w:val="en-US" w:eastAsia="zh-CN"/>
        </w:rPr>
        <w:t>化学品</w:t>
      </w:r>
      <w:r>
        <w:rPr>
          <w:rFonts w:hint="default"/>
          <w:lang w:val="en-US" w:eastAsia="zh-CN"/>
        </w:rPr>
        <w:t>转移至带盖空桶或同类空桶内；用消防沙对泄漏的</w:t>
      </w:r>
      <w:r>
        <w:rPr>
          <w:rFonts w:hint="eastAsia"/>
          <w:lang w:val="en-US" w:eastAsia="zh-CN"/>
        </w:rPr>
        <w:t>化学品</w:t>
      </w:r>
      <w:r>
        <w:rPr>
          <w:rFonts w:hint="default"/>
          <w:lang w:val="en-US" w:eastAsia="zh-CN"/>
        </w:rPr>
        <w:t>进行覆盖吸收，防止泄漏</w:t>
      </w:r>
      <w:r>
        <w:rPr>
          <w:rFonts w:hint="eastAsia"/>
          <w:lang w:val="en-US" w:eastAsia="zh-CN"/>
        </w:rPr>
        <w:t>化学品</w:t>
      </w:r>
      <w:r>
        <w:rPr>
          <w:rFonts w:hint="default"/>
          <w:lang w:val="en-US" w:eastAsia="zh-CN"/>
        </w:rPr>
        <w:t>在</w:t>
      </w:r>
      <w:r>
        <w:rPr>
          <w:rFonts w:hint="eastAsia"/>
          <w:lang w:val="en-US" w:eastAsia="zh-CN"/>
        </w:rPr>
        <w:t>厂区</w:t>
      </w:r>
      <w:r>
        <w:rPr>
          <w:rFonts w:hint="default"/>
          <w:lang w:val="en-US" w:eastAsia="zh-CN"/>
        </w:rPr>
        <w:t>内漫流；同时，用带盖空桶对泄漏的</w:t>
      </w:r>
      <w:r>
        <w:rPr>
          <w:rFonts w:hint="eastAsia"/>
          <w:lang w:val="en-US" w:eastAsia="zh-CN"/>
        </w:rPr>
        <w:t>化学品</w:t>
      </w:r>
      <w:r>
        <w:rPr>
          <w:rFonts w:hint="default"/>
          <w:lang w:val="en-US" w:eastAsia="zh-CN"/>
        </w:rPr>
        <w:t>进行收集；盖好，并妥善保存；用沙袋制成临时围堰堵住</w:t>
      </w:r>
      <w:r>
        <w:rPr>
          <w:rFonts w:hint="eastAsia"/>
          <w:lang w:val="en-US" w:eastAsia="zh-CN"/>
        </w:rPr>
        <w:t>泄漏地点</w:t>
      </w:r>
      <w:r>
        <w:rPr>
          <w:rFonts w:hint="default"/>
          <w:lang w:val="en-US" w:eastAsia="zh-CN"/>
        </w:rPr>
        <w:t>，将泄漏的</w:t>
      </w:r>
      <w:r>
        <w:rPr>
          <w:rFonts w:hint="eastAsia"/>
          <w:lang w:val="en-US" w:eastAsia="zh-CN"/>
        </w:rPr>
        <w:t>化学品</w:t>
      </w:r>
      <w:r>
        <w:rPr>
          <w:rFonts w:hint="default"/>
          <w:lang w:val="en-US" w:eastAsia="zh-CN"/>
        </w:rPr>
        <w:t>收集至带盖空桶内作为危废</w:t>
      </w:r>
      <w:r>
        <w:rPr>
          <w:rFonts w:hint="eastAsia"/>
          <w:lang w:val="en-US" w:eastAsia="zh-CN"/>
        </w:rPr>
        <w:t>/一般固废</w:t>
      </w:r>
      <w:r>
        <w:rPr>
          <w:rFonts w:hint="default"/>
          <w:lang w:val="en-US" w:eastAsia="zh-CN"/>
        </w:rPr>
        <w:t>处理。调节相应的设备参数，防止泄漏</w:t>
      </w:r>
      <w:r>
        <w:rPr>
          <w:rFonts w:hint="eastAsia"/>
          <w:lang w:val="en-US" w:eastAsia="zh-CN"/>
        </w:rPr>
        <w:t>化学品</w:t>
      </w:r>
      <w:r>
        <w:rPr>
          <w:rFonts w:hint="default"/>
          <w:lang w:val="en-US" w:eastAsia="zh-CN"/>
        </w:rPr>
        <w:t>对污水厂的运行产生影响。经</w:t>
      </w:r>
      <w:r>
        <w:rPr>
          <w:rFonts w:hint="eastAsia"/>
          <w:lang w:val="en-US" w:eastAsia="zh-CN"/>
        </w:rPr>
        <w:t>污水处理厂</w:t>
      </w:r>
      <w:r>
        <w:rPr>
          <w:rFonts w:hint="default"/>
          <w:lang w:val="en-US" w:eastAsia="zh-CN"/>
        </w:rPr>
        <w:t>应急指挥部对事故现场进行检查合格后，恢复正常生产秩序。</w:t>
      </w:r>
    </w:p>
    <w:p>
      <w:pPr>
        <w:pStyle w:val="14"/>
        <w:numPr>
          <w:ilvl w:val="0"/>
          <w:numId w:val="3"/>
        </w:numPr>
        <w:ind w:left="0" w:leftChars="0" w:firstLine="480" w:firstLineChars="200"/>
        <w:rPr>
          <w:rFonts w:hint="eastAsia"/>
          <w:lang w:val="en-US" w:eastAsia="zh-CN"/>
        </w:rPr>
      </w:pPr>
      <w:r>
        <w:rPr>
          <w:rFonts w:hint="eastAsia"/>
          <w:lang w:val="en-US" w:eastAsia="zh-CN"/>
        </w:rPr>
        <w:t>毒害气体造成人身伤害</w:t>
      </w:r>
    </w:p>
    <w:p>
      <w:pPr>
        <w:pStyle w:val="14"/>
        <w:rPr>
          <w:rFonts w:hint="eastAsia"/>
          <w:lang w:val="en-US" w:eastAsia="zh-CN"/>
        </w:rPr>
      </w:pPr>
      <w:r>
        <w:t>加强职工操作技能的培训，建立和严格执行各部门的运行管理制度和操作责任制度，杜绝操作事故隐患</w:t>
      </w:r>
      <w:r>
        <w:rPr>
          <w:rFonts w:hint="eastAsia"/>
          <w:lang w:eastAsia="zh-CN"/>
        </w:rPr>
        <w:t>；</w:t>
      </w:r>
      <w:r>
        <w:rPr>
          <w:rFonts w:hint="eastAsia"/>
          <w:lang w:val="en-US" w:eastAsia="zh-CN"/>
        </w:rPr>
        <w:t>定时开展急救等应急培训，面对事故合理有效展开救援，避免事故影响进一步扩大；</w:t>
      </w:r>
      <w:r>
        <w:rPr>
          <w:rFonts w:hint="eastAsia"/>
        </w:rPr>
        <w:t>加强污泥泵站的管理，对污泥及时清理，同时加大对污泥泵房、污泥池等污泥堆放区的通风，可有效降低甲烷等有毒有害气体产生的几率。</w:t>
      </w:r>
      <w:r>
        <w:rPr>
          <w:rFonts w:hint="eastAsia"/>
          <w:lang w:val="en-US" w:eastAsia="zh-CN"/>
        </w:rPr>
        <w:t>职工操作得当，能避免此类风险事故发生。</w:t>
      </w:r>
    </w:p>
    <w:p>
      <w:pPr>
        <w:pStyle w:val="14"/>
        <w:numPr>
          <w:ilvl w:val="0"/>
          <w:numId w:val="3"/>
        </w:numPr>
        <w:ind w:left="0" w:leftChars="0" w:firstLine="480" w:firstLineChars="200"/>
        <w:rPr>
          <w:rFonts w:hint="eastAsia"/>
          <w:lang w:val="en-US" w:eastAsia="zh-CN"/>
        </w:rPr>
      </w:pPr>
      <w:r>
        <w:rPr>
          <w:rFonts w:hint="eastAsia"/>
          <w:lang w:val="en-US" w:eastAsia="zh-CN"/>
        </w:rPr>
        <w:t>尾水事故排放</w:t>
      </w:r>
    </w:p>
    <w:p>
      <w:pPr>
        <w:pStyle w:val="14"/>
        <w:rPr>
          <w:rFonts w:hint="eastAsia"/>
          <w:lang w:val="en-US" w:eastAsia="zh-CN"/>
        </w:rPr>
      </w:pPr>
      <w:r>
        <w:rPr>
          <w:rFonts w:hint="eastAsia"/>
          <w:lang w:val="en-US" w:eastAsia="zh-CN"/>
        </w:rPr>
        <w:t>①进水水质异常</w:t>
      </w:r>
    </w:p>
    <w:p>
      <w:pPr>
        <w:pStyle w:val="14"/>
        <w:rPr>
          <w:rFonts w:hint="eastAsia"/>
        </w:rPr>
      </w:pPr>
      <w:r>
        <w:rPr>
          <w:rFonts w:hint="eastAsia"/>
        </w:rPr>
        <w:t>进水水质对本污水处理厂的威胁可能来自个别工业企业的生产设备或废水的预处理故障而发生的污染事故。虽然对这个企业来说，排放的污染物质可能成倍或成几十倍的增加，但对污水处理厂的进水来说，只要这些增加的物质不是重金属或有毒物质，大多数这类事故并不会对处理效率构成明显的影响。在极少数的情况下，发生事故的企业排放的废水量在污水处理厂进水中所占的分量较大，从而使处理效率下降，此时排放的尾水水质有超标的可能。</w:t>
      </w:r>
    </w:p>
    <w:p>
      <w:pPr>
        <w:pStyle w:val="14"/>
        <w:rPr>
          <w:rFonts w:hint="eastAsia"/>
        </w:rPr>
      </w:pPr>
      <w:r>
        <w:rPr>
          <w:rFonts w:hint="eastAsia"/>
          <w:lang w:val="en-US" w:eastAsia="zh-CN"/>
        </w:rPr>
        <w:t>②</w:t>
      </w:r>
      <w:r>
        <w:rPr>
          <w:rFonts w:hint="eastAsia"/>
        </w:rPr>
        <w:t>电力及机械故障</w:t>
      </w:r>
    </w:p>
    <w:p>
      <w:pPr>
        <w:pStyle w:val="14"/>
      </w:pPr>
      <w:r>
        <w:rPr>
          <w:rFonts w:hint="eastAsia"/>
        </w:rPr>
        <w:t>本污水处理厂设计中供电采用双电源设计，电力有保障。机械设备选型采用先进产品，其自控水平很高，因此由于电力机械故障造成的事故几率很低。</w:t>
      </w:r>
    </w:p>
    <w:p>
      <w:pPr>
        <w:pStyle w:val="14"/>
        <w:rPr>
          <w:rFonts w:hint="eastAsia"/>
        </w:rPr>
      </w:pPr>
      <w:r>
        <w:rPr>
          <w:rFonts w:hint="eastAsia"/>
          <w:lang w:val="en-US" w:eastAsia="zh-CN"/>
        </w:rPr>
        <w:t>③</w:t>
      </w:r>
      <w:r>
        <w:rPr>
          <w:rFonts w:hint="eastAsia"/>
        </w:rPr>
        <w:t>设备故障事故及检修</w:t>
      </w:r>
    </w:p>
    <w:p>
      <w:pPr>
        <w:pStyle w:val="14"/>
      </w:pPr>
      <w:r>
        <w:rPr>
          <w:rFonts w:hint="eastAsia"/>
        </w:rPr>
        <w:t>设计中主要设备采用国产优质设备。监测仪表和控制系统自动监控水平较高。因此，本污水处理厂发生设备故障事故的可能性较低。</w:t>
      </w:r>
    </w:p>
    <w:p>
      <w:pPr>
        <w:pStyle w:val="14"/>
        <w:rPr>
          <w:rFonts w:hint="eastAsia"/>
          <w:lang w:val="en-US" w:eastAsia="zh-CN"/>
        </w:rPr>
      </w:pPr>
      <w:r>
        <w:rPr>
          <w:rFonts w:hint="eastAsia"/>
          <w:lang w:val="en-US" w:eastAsia="zh-CN"/>
        </w:rPr>
        <w:t>④活性污泥变质</w:t>
      </w:r>
    </w:p>
    <w:p>
      <w:pPr>
        <w:pStyle w:val="14"/>
        <w:rPr>
          <w:rFonts w:hint="eastAsia"/>
        </w:rPr>
      </w:pPr>
      <w:r>
        <w:rPr>
          <w:rFonts w:hint="eastAsia"/>
        </w:rPr>
        <w:t>建设项目工程设计自动化程度较高，对污水中的有毒物质和污泥浓度等指标实行自动监测，一有异常，立即采取措施补救，这样可有效降低污泥膨胀或解体的风险。</w:t>
      </w:r>
    </w:p>
    <w:p>
      <w:pPr>
        <w:pStyle w:val="14"/>
        <w:rPr>
          <w:rFonts w:hint="default"/>
          <w:lang w:val="en-US" w:eastAsia="zh-CN"/>
        </w:rPr>
      </w:pPr>
      <w:r>
        <w:rPr>
          <w:rFonts w:hint="eastAsia"/>
          <w:lang w:eastAsia="zh-CN"/>
        </w:rPr>
        <w:t>赣州经开区污水处理厂运营过程中如出现尾水超标排放，应立即</w:t>
      </w:r>
      <w:r>
        <w:rPr>
          <w:rFonts w:hint="default"/>
          <w:lang w:val="en-US" w:eastAsia="zh-CN"/>
        </w:rPr>
        <w:t>排查污水超标排放的原因，根据超标原因的不同采取相应措施，尽快做到污水达标排放；在事故发生后第一时间与</w:t>
      </w:r>
      <w:r>
        <w:rPr>
          <w:rFonts w:hint="eastAsia"/>
          <w:lang w:val="en-US" w:eastAsia="zh-CN"/>
        </w:rPr>
        <w:t>赣州市</w:t>
      </w:r>
      <w:r>
        <w:rPr>
          <w:rFonts w:hint="default"/>
          <w:lang w:val="en-US" w:eastAsia="zh-CN"/>
        </w:rPr>
        <w:t>排水管理处、</w:t>
      </w:r>
      <w:r>
        <w:rPr>
          <w:rFonts w:hint="eastAsia"/>
          <w:lang w:val="en-US" w:eastAsia="zh-CN"/>
        </w:rPr>
        <w:t>赣州市开发区</w:t>
      </w:r>
      <w:r>
        <w:rPr>
          <w:rFonts w:hint="default"/>
          <w:lang w:val="en-US" w:eastAsia="zh-CN"/>
        </w:rPr>
        <w:t>环境保护局、</w:t>
      </w:r>
      <w:r>
        <w:rPr>
          <w:rFonts w:hint="eastAsia"/>
          <w:lang w:val="en-US" w:eastAsia="zh-CN"/>
        </w:rPr>
        <w:t>赣州市生态环境</w:t>
      </w:r>
      <w:r>
        <w:rPr>
          <w:rFonts w:hint="default"/>
          <w:lang w:val="en-US" w:eastAsia="zh-CN"/>
        </w:rPr>
        <w:t>局等单位相关部门联系，告知事故情况并递交书面报告；如外排污水严重超标，且短时间内无法做到污水达标排放。在向相关行政主管部门汇报后，会同</w:t>
      </w:r>
      <w:r>
        <w:rPr>
          <w:rFonts w:hint="eastAsia"/>
          <w:lang w:val="en-US" w:eastAsia="zh-CN"/>
        </w:rPr>
        <w:t>园区</w:t>
      </w:r>
      <w:r>
        <w:rPr>
          <w:rFonts w:hint="default"/>
          <w:lang w:val="en-US" w:eastAsia="zh-CN"/>
        </w:rPr>
        <w:t>主管部门一起，减少向</w:t>
      </w:r>
      <w:r>
        <w:rPr>
          <w:rFonts w:hint="eastAsia"/>
          <w:lang w:val="en-US" w:eastAsia="zh-CN"/>
        </w:rPr>
        <w:t>赣州经济技术开发区污水处理厂</w:t>
      </w:r>
      <w:r>
        <w:rPr>
          <w:rFonts w:hint="default"/>
          <w:lang w:val="en-US" w:eastAsia="zh-CN"/>
        </w:rPr>
        <w:t>输送</w:t>
      </w:r>
      <w:r>
        <w:rPr>
          <w:rFonts w:hint="eastAsia"/>
          <w:lang w:val="en-US" w:eastAsia="zh-CN"/>
        </w:rPr>
        <w:t>园区</w:t>
      </w:r>
      <w:r>
        <w:rPr>
          <w:rFonts w:hint="default"/>
          <w:lang w:val="en-US" w:eastAsia="zh-CN"/>
        </w:rPr>
        <w:t>污水；</w:t>
      </w:r>
    </w:p>
    <w:p>
      <w:pPr>
        <w:pStyle w:val="14"/>
        <w:rPr>
          <w:rFonts w:hint="eastAsia"/>
          <w:lang w:eastAsia="zh-CN"/>
        </w:rPr>
      </w:pPr>
      <w:r>
        <w:rPr>
          <w:rFonts w:hint="default"/>
          <w:lang w:val="en-US" w:eastAsia="zh-CN"/>
        </w:rPr>
        <w:t>事故解除后，尽快实施污水处理厂的正常运行，以减少对外界水环境的影响。</w:t>
      </w:r>
    </w:p>
    <w:p>
      <w:pPr>
        <w:pStyle w:val="14"/>
        <w:rPr>
          <w:rStyle w:val="15"/>
          <w:rFonts w:hint="default"/>
        </w:rPr>
      </w:pPr>
      <w:r>
        <w:rPr>
          <w:rStyle w:val="15"/>
          <w:rFonts w:hint="default"/>
        </w:rPr>
        <w:br w:type="page"/>
      </w:r>
      <w:bookmarkStart w:id="241" w:name="_Toc17138"/>
      <w:bookmarkStart w:id="242" w:name="_Toc32411"/>
    </w:p>
    <w:bookmarkEnd w:id="240"/>
    <w:bookmarkEnd w:id="241"/>
    <w:bookmarkEnd w:id="242"/>
    <w:p>
      <w:pPr>
        <w:pStyle w:val="19"/>
        <w:rPr>
          <w:rFonts w:hint="default"/>
        </w:rPr>
      </w:pPr>
      <w:bookmarkStart w:id="243" w:name="_Toc10762"/>
      <w:bookmarkStart w:id="244" w:name="_Toc32178"/>
      <w:bookmarkStart w:id="245" w:name="_Toc6266"/>
      <w:bookmarkStart w:id="246" w:name="_Toc396140001"/>
      <w:bookmarkStart w:id="247" w:name="_Toc25695_WPSOffice_Level1"/>
      <w:r>
        <w:rPr>
          <w:rFonts w:hint="eastAsia"/>
          <w:lang w:val="en-US" w:eastAsia="zh-CN"/>
        </w:rPr>
        <w:t>4</w:t>
      </w:r>
      <w:r>
        <w:rPr>
          <w:rFonts w:hint="default"/>
        </w:rPr>
        <w:t>组织机构与职责</w:t>
      </w:r>
      <w:bookmarkEnd w:id="243"/>
      <w:bookmarkEnd w:id="244"/>
      <w:bookmarkEnd w:id="245"/>
      <w:bookmarkEnd w:id="246"/>
      <w:bookmarkEnd w:id="247"/>
    </w:p>
    <w:p>
      <w:pPr>
        <w:pStyle w:val="20"/>
        <w:rPr>
          <w:rFonts w:hint="default"/>
        </w:rPr>
      </w:pPr>
      <w:bookmarkStart w:id="248" w:name="_Toc16216"/>
      <w:bookmarkStart w:id="249" w:name="_Toc17609"/>
      <w:bookmarkStart w:id="250" w:name="_Toc22403"/>
      <w:bookmarkStart w:id="251" w:name="_Toc6526_WPSOffice_Level1"/>
      <w:r>
        <w:rPr>
          <w:rFonts w:hint="eastAsia"/>
          <w:lang w:val="en-US" w:eastAsia="zh-CN"/>
        </w:rPr>
        <w:t>4.1</w:t>
      </w:r>
      <w:r>
        <w:rPr>
          <w:rFonts w:hint="default"/>
          <w:lang w:eastAsia="zh-CN"/>
        </w:rPr>
        <w:t>组织</w:t>
      </w:r>
      <w:r>
        <w:rPr>
          <w:rFonts w:hint="default"/>
        </w:rPr>
        <w:t>机构</w:t>
      </w:r>
      <w:r>
        <w:rPr>
          <w:rFonts w:hint="default"/>
          <w:lang w:eastAsia="zh-CN"/>
        </w:rPr>
        <w:t>体系</w:t>
      </w:r>
      <w:bookmarkEnd w:id="248"/>
      <w:bookmarkEnd w:id="249"/>
      <w:bookmarkEnd w:id="250"/>
      <w:bookmarkEnd w:id="251"/>
    </w:p>
    <w:p>
      <w:pPr>
        <w:pStyle w:val="14"/>
        <w:rPr>
          <w:rFonts w:hint="default"/>
        </w:rPr>
      </w:pPr>
      <w:r>
        <w:rPr>
          <w:rFonts w:hint="default"/>
        </w:rPr>
        <w:t>为了降低或避免特殊情况下突发环境事件所造成的损失，确保有组织、有计划、快速地应对突发环境事件，及时地组织抢险和救援，必须建立环境应急组织机构，并明确应急组织机构各成员的职责，应急组织的建立必须遵循应急机构人员职能不交叉的原则。</w:t>
      </w:r>
    </w:p>
    <w:p>
      <w:pPr>
        <w:pStyle w:val="14"/>
        <w:rPr>
          <w:rFonts w:hint="default"/>
        </w:rPr>
      </w:pPr>
      <w:r>
        <w:rPr>
          <w:rFonts w:hint="eastAsia"/>
          <w:lang w:eastAsia="zh-CN"/>
        </w:rPr>
        <w:t>赣州经开区污水处理厂</w:t>
      </w:r>
      <w:r>
        <w:rPr>
          <w:rFonts w:hint="default"/>
        </w:rPr>
        <w:t>成立了突发环境事件应急指挥小组（简称“应急指挥小组”），由污水厂</w:t>
      </w:r>
      <w:r>
        <w:rPr>
          <w:rFonts w:hint="eastAsia"/>
          <w:lang w:val="en-US" w:eastAsia="zh-CN"/>
        </w:rPr>
        <w:t>厂长</w:t>
      </w:r>
      <w:r>
        <w:rPr>
          <w:rFonts w:hint="default"/>
          <w:lang w:val="en-US" w:eastAsia="zh-CN"/>
        </w:rPr>
        <w:t>为总指挥</w:t>
      </w:r>
      <w:r>
        <w:rPr>
          <w:rFonts w:hint="default"/>
        </w:rPr>
        <w:t>，</w:t>
      </w:r>
      <w:r>
        <w:rPr>
          <w:rFonts w:hint="eastAsia"/>
          <w:lang w:eastAsia="zh-CN"/>
        </w:rPr>
        <w:t>技术工</w:t>
      </w:r>
      <w:r>
        <w:rPr>
          <w:rFonts w:hint="default"/>
        </w:rPr>
        <w:t>任</w:t>
      </w:r>
      <w:r>
        <w:rPr>
          <w:rFonts w:hint="default"/>
          <w:lang w:val="en-US" w:eastAsia="zh-CN"/>
        </w:rPr>
        <w:t>副指挥</w:t>
      </w:r>
      <w:r>
        <w:rPr>
          <w:rFonts w:hint="default"/>
        </w:rPr>
        <w:t>，组员包括各部门负责人及部分工作人员。应急指挥小组下设应急指挥办公室，为常设机构，由</w:t>
      </w:r>
      <w:r>
        <w:rPr>
          <w:rFonts w:hint="default"/>
          <w:lang w:val="en-US" w:eastAsia="zh-CN"/>
        </w:rPr>
        <w:t>运营部经理</w:t>
      </w:r>
      <w:r>
        <w:rPr>
          <w:rFonts w:hint="default"/>
        </w:rPr>
        <w:t>任办公室主任，负责日常监控、报告突发环境事件、协调一般事故的处置。</w:t>
      </w:r>
    </w:p>
    <w:p>
      <w:pPr>
        <w:pStyle w:val="14"/>
        <w:rPr>
          <w:rFonts w:hint="default"/>
        </w:rPr>
      </w:pPr>
      <w:r>
        <w:rPr>
          <w:rFonts w:hint="default"/>
        </w:rPr>
        <w:t>在突发环境事件发生时，应急指挥小组根据需要成立现场处置领导小组，由应急指挥小组直接管理。现场处置领导小组主要负责落实应急指挥小组的各项工作部署，及时向应急指挥小组及其成员报告事件应急处置情况；在应急指挥小组的授权下，组织协调突发环境事件应急处置工作；制定突发环境事件处置方案，落实应急处置措施。</w:t>
      </w:r>
    </w:p>
    <w:p>
      <w:pPr>
        <w:pStyle w:val="14"/>
        <w:rPr>
          <w:rFonts w:hint="default"/>
        </w:rPr>
      </w:pPr>
      <w:r>
        <w:rPr>
          <w:rFonts w:hint="default"/>
        </w:rPr>
        <w:t>现场处置领导小组下设抢险救援组、现场疏散及安全保卫组、医疗救护及事故善后组、环境监测队、通讯及后勤保障组等职能小组。</w:t>
      </w:r>
    </w:p>
    <w:p>
      <w:pPr>
        <w:spacing w:line="240" w:lineRule="atLeast"/>
        <w:jc w:val="center"/>
        <w:rPr>
          <w:rFonts w:hint="default" w:ascii="Times New Roman" w:hAnsi="Times New Roman" w:cs="Times New Roman"/>
          <w:b/>
          <w:bCs/>
          <w:color w:val="auto"/>
          <w:sz w:val="21"/>
          <w:szCs w:val="21"/>
          <w:lang w:val="en-US" w:eastAsia="zh-CN"/>
        </w:rPr>
      </w:pPr>
    </w:p>
    <w:p>
      <w:pPr>
        <w:spacing w:line="240" w:lineRule="atLeast"/>
        <w:jc w:val="center"/>
        <w:rPr>
          <w:rFonts w:hint="default" w:ascii="Times New Roman" w:hAnsi="Times New Roman" w:cs="Times New Roman"/>
          <w:b/>
          <w:bCs/>
          <w:color w:val="auto"/>
          <w:sz w:val="21"/>
          <w:szCs w:val="21"/>
          <w:lang w:val="en-US" w:eastAsia="zh-CN"/>
        </w:rPr>
      </w:pPr>
    </w:p>
    <w:p>
      <w:pPr>
        <w:spacing w:line="240" w:lineRule="atLeast"/>
        <w:jc w:val="center"/>
        <w:rPr>
          <w:rFonts w:hint="default" w:ascii="Times New Roman" w:hAnsi="Times New Roman" w:cs="Times New Roman"/>
          <w:color w:val="auto"/>
          <w:highlight w:val="none"/>
          <w:u w:val="none"/>
        </w:rPr>
      </w:pPr>
      <w:r>
        <w:rPr>
          <w:rFonts w:hint="default" w:ascii="Times New Roman" w:hAnsi="Times New Roman" w:cs="Times New Roman"/>
          <w:b/>
          <w:bCs/>
          <w:color w:val="auto"/>
          <w:sz w:val="21"/>
          <w:szCs w:val="21"/>
          <w:lang w:val="en-US" w:eastAsia="zh-CN"/>
        </w:rPr>
        <w:object>
          <v:shape id="_x0000_i1028" o:spt="75" type="#_x0000_t75" style="height:268.5pt;width:264pt;" o:ole="t" filled="f" o:preferrelative="t" stroked="f" coordsize="21600,21600">
            <v:path/>
            <v:fill on="f" focussize="0,0"/>
            <v:stroke on="f"/>
            <v:imagedata r:id="rId17" o:title=""/>
            <o:lock v:ext="edit" aspectratio="f"/>
            <w10:wrap type="none"/>
            <w10:anchorlock/>
          </v:shape>
          <o:OLEObject Type="Embed" ProgID="Visio.Drawing.11" ShapeID="_x0000_i1028" DrawAspect="Content" ObjectID="_1468075728" r:id="rId16">
            <o:LockedField>false</o:LockedField>
          </o:OLEObject>
        </w:object>
      </w:r>
    </w:p>
    <w:p>
      <w:pPr>
        <w:pStyle w:val="23"/>
        <w:rPr>
          <w:rFonts w:hint="default"/>
        </w:rPr>
      </w:pPr>
      <w:r>
        <w:rPr>
          <w:rFonts w:hint="default"/>
        </w:rPr>
        <w:t>图</w:t>
      </w:r>
      <w:r>
        <w:rPr>
          <w:rFonts w:hint="eastAsia"/>
          <w:lang w:val="en-US" w:eastAsia="zh-CN"/>
        </w:rPr>
        <w:t>4</w:t>
      </w:r>
      <w:r>
        <w:rPr>
          <w:rFonts w:hint="default"/>
        </w:rPr>
        <w:t>.1</w:t>
      </w:r>
      <w:r>
        <w:rPr>
          <w:rFonts w:hint="eastAsia"/>
          <w:lang w:val="en-US" w:eastAsia="zh-CN"/>
        </w:rPr>
        <w:t>.</w:t>
      </w:r>
      <w:r>
        <w:rPr>
          <w:rFonts w:hint="default"/>
        </w:rPr>
        <w:t xml:space="preserve">1 </w:t>
      </w:r>
      <w:r>
        <w:rPr>
          <w:rFonts w:hint="eastAsia"/>
          <w:lang w:eastAsia="zh-CN"/>
        </w:rPr>
        <w:t>赣州经开区污水处理厂</w:t>
      </w:r>
      <w:r>
        <w:rPr>
          <w:rFonts w:hint="default"/>
        </w:rPr>
        <w:t>应急救援组织机构图</w:t>
      </w:r>
    </w:p>
    <w:p>
      <w:pPr>
        <w:pStyle w:val="20"/>
        <w:rPr>
          <w:rFonts w:hint="eastAsia" w:eastAsia="宋体"/>
          <w:lang w:eastAsia="zh-CN"/>
        </w:rPr>
      </w:pPr>
      <w:bookmarkStart w:id="252" w:name="_Toc3417"/>
      <w:bookmarkStart w:id="253" w:name="_Toc11322"/>
      <w:bookmarkStart w:id="254" w:name="_Toc2447"/>
      <w:bookmarkStart w:id="255" w:name="_Toc30934_WPSOffice_Level1"/>
      <w:r>
        <w:rPr>
          <w:rFonts w:hint="eastAsia"/>
          <w:lang w:val="en-US" w:eastAsia="zh-CN"/>
        </w:rPr>
        <w:t>4.2</w:t>
      </w:r>
      <w:r>
        <w:rPr>
          <w:rFonts w:hint="default"/>
        </w:rPr>
        <w:t>应急</w:t>
      </w:r>
      <w:r>
        <w:rPr>
          <w:rFonts w:hint="default"/>
          <w:lang w:eastAsia="zh-CN"/>
        </w:rPr>
        <w:t>组织</w:t>
      </w:r>
      <w:r>
        <w:rPr>
          <w:rFonts w:hint="default"/>
        </w:rPr>
        <w:t>机构</w:t>
      </w:r>
      <w:bookmarkEnd w:id="252"/>
      <w:bookmarkEnd w:id="253"/>
      <w:bookmarkEnd w:id="254"/>
      <w:r>
        <w:rPr>
          <w:rFonts w:hint="eastAsia"/>
          <w:lang w:eastAsia="zh-CN"/>
        </w:rPr>
        <w:t>组成及职责</w:t>
      </w:r>
      <w:bookmarkEnd w:id="255"/>
    </w:p>
    <w:p>
      <w:pPr>
        <w:pStyle w:val="14"/>
        <w:rPr>
          <w:rFonts w:hint="default"/>
        </w:rPr>
      </w:pPr>
      <w:r>
        <w:rPr>
          <w:rFonts w:hint="default"/>
        </w:rPr>
        <w:t>应急组织机构成员</w:t>
      </w:r>
      <w:r>
        <w:rPr>
          <w:rFonts w:hint="default"/>
          <w:lang w:val="en-US" w:eastAsia="zh-CN"/>
        </w:rPr>
        <w:t>联系方式</w:t>
      </w:r>
      <w:r>
        <w:rPr>
          <w:rFonts w:hint="default"/>
        </w:rPr>
        <w:t>和职责见表</w:t>
      </w:r>
      <w:r>
        <w:rPr>
          <w:rFonts w:hint="eastAsia"/>
          <w:lang w:val="en-US" w:eastAsia="zh-CN"/>
        </w:rPr>
        <w:t>4</w:t>
      </w:r>
      <w:r>
        <w:rPr>
          <w:rFonts w:hint="default"/>
        </w:rPr>
        <w:t>.2-1</w:t>
      </w:r>
      <w:r>
        <w:rPr>
          <w:rFonts w:hint="default"/>
          <w:lang w:eastAsia="zh-CN"/>
        </w:rPr>
        <w:t>、</w:t>
      </w:r>
      <w:r>
        <w:rPr>
          <w:rFonts w:hint="eastAsia"/>
          <w:lang w:val="en-US" w:eastAsia="zh-CN"/>
        </w:rPr>
        <w:t>4</w:t>
      </w:r>
      <w:r>
        <w:rPr>
          <w:rFonts w:hint="default"/>
          <w:lang w:val="en-US" w:eastAsia="zh-CN"/>
        </w:rPr>
        <w:t>.2-2</w:t>
      </w:r>
      <w:r>
        <w:rPr>
          <w:rFonts w:hint="default"/>
        </w:rPr>
        <w:t>。</w:t>
      </w:r>
    </w:p>
    <w:p>
      <w:pPr>
        <w:pStyle w:val="16"/>
        <w:rPr>
          <w:rFonts w:hint="default"/>
          <w:lang w:val="en-US" w:eastAsia="zh-CN"/>
        </w:rPr>
      </w:pPr>
      <w:r>
        <w:rPr>
          <w:rFonts w:hint="eastAsia"/>
          <w:lang w:val="en-US" w:eastAsia="zh-CN"/>
        </w:rPr>
        <w:t>表4</w:t>
      </w:r>
      <w:r>
        <w:rPr>
          <w:rFonts w:hint="default"/>
          <w:lang w:val="en-US" w:eastAsia="zh-CN"/>
        </w:rPr>
        <w:t>.2-1  各组负责人及联系方式一览表</w:t>
      </w:r>
    </w:p>
    <w:tbl>
      <w:tblPr>
        <w:tblStyle w:val="11"/>
        <w:tblW w:w="833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12"/>
        <w:gridCol w:w="1754"/>
        <w:gridCol w:w="2084"/>
        <w:gridCol w:w="208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eastAsia" w:eastAsia="宋体"/>
                <w:lang w:eastAsia="zh-CN"/>
              </w:rPr>
            </w:pPr>
            <w:r>
              <w:rPr>
                <w:rFonts w:hint="eastAsia"/>
                <w:lang w:eastAsia="zh-CN"/>
              </w:rPr>
              <w:t>职位</w:t>
            </w:r>
          </w:p>
        </w:tc>
        <w:tc>
          <w:tcPr>
            <w:tcW w:w="1754" w:type="dxa"/>
            <w:tcBorders>
              <w:tl2br w:val="nil"/>
              <w:tr2bl w:val="nil"/>
            </w:tcBorders>
            <w:vAlign w:val="center"/>
          </w:tcPr>
          <w:p>
            <w:pPr>
              <w:pStyle w:val="18"/>
              <w:rPr>
                <w:rFonts w:hint="default"/>
              </w:rPr>
            </w:pPr>
            <w:r>
              <w:rPr>
                <w:rFonts w:hint="default"/>
              </w:rPr>
              <w:t>姓名</w:t>
            </w:r>
          </w:p>
        </w:tc>
        <w:tc>
          <w:tcPr>
            <w:tcW w:w="2084" w:type="dxa"/>
            <w:tcBorders>
              <w:tl2br w:val="nil"/>
              <w:tr2bl w:val="nil"/>
            </w:tcBorders>
            <w:vAlign w:val="center"/>
          </w:tcPr>
          <w:p>
            <w:pPr>
              <w:pStyle w:val="18"/>
              <w:rPr>
                <w:rFonts w:hint="default"/>
              </w:rPr>
            </w:pPr>
            <w:r>
              <w:rPr>
                <w:rFonts w:hint="eastAsia"/>
                <w:lang w:eastAsia="zh-CN"/>
              </w:rPr>
              <w:t>污水处理厂</w:t>
            </w:r>
            <w:r>
              <w:rPr>
                <w:rFonts w:hint="default"/>
              </w:rPr>
              <w:t>职务</w:t>
            </w:r>
          </w:p>
        </w:tc>
        <w:tc>
          <w:tcPr>
            <w:tcW w:w="2084" w:type="dxa"/>
            <w:tcBorders>
              <w:tl2br w:val="nil"/>
              <w:tr2bl w:val="nil"/>
            </w:tcBorders>
            <w:vAlign w:val="center"/>
          </w:tcPr>
          <w:p>
            <w:pPr>
              <w:pStyle w:val="18"/>
              <w:rPr>
                <w:rFonts w:hint="default"/>
              </w:rPr>
            </w:pPr>
            <w:r>
              <w:rPr>
                <w:rFonts w:hint="default"/>
              </w:rPr>
              <w:t>联系方式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rPr>
              <w:t>总指挥</w:t>
            </w:r>
          </w:p>
        </w:tc>
        <w:tc>
          <w:tcPr>
            <w:tcW w:w="1754" w:type="dxa"/>
            <w:tcBorders>
              <w:tl2br w:val="nil"/>
              <w:tr2bl w:val="nil"/>
            </w:tcBorders>
            <w:vAlign w:val="center"/>
          </w:tcPr>
          <w:p>
            <w:pPr>
              <w:pStyle w:val="18"/>
              <w:ind w:firstLine="0" w:firstLineChars="0"/>
              <w:jc w:val="center"/>
              <w:rPr>
                <w:rFonts w:hint="default"/>
              </w:rPr>
            </w:pPr>
            <w:r>
              <w:rPr>
                <w:rFonts w:hint="eastAsia"/>
                <w:lang w:eastAsia="zh-CN"/>
              </w:rPr>
              <w:t>魏跃林</w:t>
            </w:r>
          </w:p>
        </w:tc>
        <w:tc>
          <w:tcPr>
            <w:tcW w:w="2084" w:type="dxa"/>
            <w:tcBorders>
              <w:tl2br w:val="nil"/>
              <w:tr2bl w:val="nil"/>
            </w:tcBorders>
            <w:vAlign w:val="center"/>
          </w:tcPr>
          <w:p>
            <w:pPr>
              <w:pStyle w:val="18"/>
              <w:ind w:firstLine="0" w:firstLineChars="0"/>
              <w:jc w:val="center"/>
              <w:rPr>
                <w:rFonts w:hint="default"/>
              </w:rPr>
            </w:pPr>
            <w:r>
              <w:rPr>
                <w:rFonts w:hint="default"/>
              </w:rPr>
              <w:t>厂长</w:t>
            </w:r>
          </w:p>
        </w:tc>
        <w:tc>
          <w:tcPr>
            <w:tcW w:w="2084" w:type="dxa"/>
            <w:tcBorders>
              <w:tl2br w:val="nil"/>
              <w:tr2bl w:val="nil"/>
            </w:tcBorders>
            <w:vAlign w:val="center"/>
          </w:tcPr>
          <w:p>
            <w:pPr>
              <w:pStyle w:val="18"/>
              <w:ind w:firstLine="0" w:firstLineChars="0"/>
              <w:jc w:val="center"/>
              <w:rPr>
                <w:rFonts w:hint="default"/>
              </w:rPr>
            </w:pPr>
            <w:r>
              <w:rPr>
                <w:rFonts w:hint="default"/>
              </w:rPr>
              <w:t>18779106209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rPr>
              <w:t>副总指挥</w:t>
            </w:r>
          </w:p>
        </w:tc>
        <w:tc>
          <w:tcPr>
            <w:tcW w:w="1754" w:type="dxa"/>
            <w:tcBorders>
              <w:tl2br w:val="nil"/>
              <w:tr2bl w:val="nil"/>
            </w:tcBorders>
            <w:vAlign w:val="center"/>
          </w:tcPr>
          <w:p>
            <w:pPr>
              <w:pStyle w:val="18"/>
              <w:ind w:firstLine="0" w:firstLineChars="0"/>
              <w:jc w:val="center"/>
              <w:rPr>
                <w:rFonts w:hint="eastAsia" w:eastAsia="宋体"/>
                <w:lang w:eastAsia="zh-CN"/>
              </w:rPr>
            </w:pPr>
            <w:r>
              <w:rPr>
                <w:rFonts w:hint="eastAsia"/>
                <w:lang w:eastAsia="zh-CN"/>
              </w:rPr>
              <w:t>温慧新</w:t>
            </w:r>
          </w:p>
        </w:tc>
        <w:tc>
          <w:tcPr>
            <w:tcW w:w="2084" w:type="dxa"/>
            <w:tcBorders>
              <w:tl2br w:val="nil"/>
              <w:tr2bl w:val="nil"/>
            </w:tcBorders>
            <w:vAlign w:val="center"/>
          </w:tcPr>
          <w:p>
            <w:pPr>
              <w:pStyle w:val="18"/>
              <w:ind w:firstLine="0" w:firstLineChars="0"/>
              <w:jc w:val="center"/>
              <w:rPr>
                <w:rFonts w:hint="default"/>
              </w:rPr>
            </w:pPr>
            <w:r>
              <w:rPr>
                <w:rFonts w:hint="eastAsia"/>
                <w:lang w:eastAsia="zh-CN"/>
              </w:rPr>
              <w:t>技术员</w:t>
            </w:r>
          </w:p>
        </w:tc>
        <w:tc>
          <w:tcPr>
            <w:tcW w:w="2084" w:type="dxa"/>
            <w:tcBorders>
              <w:tl2br w:val="nil"/>
              <w:tr2bl w:val="nil"/>
            </w:tcBorders>
            <w:vAlign w:val="center"/>
          </w:tcPr>
          <w:p>
            <w:pPr>
              <w:pStyle w:val="18"/>
              <w:ind w:firstLine="0" w:firstLineChars="0"/>
              <w:jc w:val="center"/>
              <w:rPr>
                <w:rFonts w:hint="eastAsia" w:eastAsia="宋体"/>
                <w:lang w:eastAsia="zh-CN"/>
              </w:rPr>
            </w:pPr>
            <w:r>
              <w:rPr>
                <w:rFonts w:hint="default"/>
              </w:rPr>
              <w:t>18370871587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rPr>
              <w:t>应急指挥部办公室</w:t>
            </w:r>
          </w:p>
        </w:tc>
        <w:tc>
          <w:tcPr>
            <w:tcW w:w="1754" w:type="dxa"/>
            <w:tcBorders>
              <w:tl2br w:val="nil"/>
              <w:tr2bl w:val="nil"/>
            </w:tcBorders>
            <w:vAlign w:val="center"/>
          </w:tcPr>
          <w:p>
            <w:pPr>
              <w:pStyle w:val="18"/>
              <w:ind w:firstLine="0" w:firstLineChars="0"/>
              <w:jc w:val="center"/>
              <w:rPr>
                <w:rFonts w:hint="default"/>
              </w:rPr>
            </w:pPr>
            <w:r>
              <w:rPr>
                <w:rFonts w:hint="default"/>
                <w:lang w:val="en-US" w:eastAsia="zh-CN"/>
              </w:rPr>
              <w:t>刘昊</w:t>
            </w:r>
          </w:p>
        </w:tc>
        <w:tc>
          <w:tcPr>
            <w:tcW w:w="2084"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2084" w:type="dxa"/>
            <w:tcBorders>
              <w:tl2br w:val="nil"/>
              <w:tr2bl w:val="nil"/>
            </w:tcBorders>
            <w:vAlign w:val="center"/>
          </w:tcPr>
          <w:p>
            <w:pPr>
              <w:pStyle w:val="18"/>
              <w:ind w:firstLine="0" w:firstLineChars="0"/>
              <w:jc w:val="center"/>
              <w:rPr>
                <w:rFonts w:hint="default"/>
              </w:rPr>
            </w:pPr>
            <w:r>
              <w:rPr>
                <w:rFonts w:hint="default"/>
              </w:rPr>
              <w:t>17770771429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rPr>
              <w:t>抢险救灾队</w:t>
            </w:r>
          </w:p>
        </w:tc>
        <w:tc>
          <w:tcPr>
            <w:tcW w:w="1754" w:type="dxa"/>
            <w:tcBorders>
              <w:tl2br w:val="nil"/>
              <w:tr2bl w:val="nil"/>
            </w:tcBorders>
            <w:vAlign w:val="center"/>
          </w:tcPr>
          <w:p>
            <w:pPr>
              <w:pStyle w:val="18"/>
              <w:ind w:firstLine="0" w:firstLineChars="0"/>
              <w:jc w:val="center"/>
              <w:rPr>
                <w:rFonts w:hint="default"/>
              </w:rPr>
            </w:pPr>
            <w:r>
              <w:rPr>
                <w:rFonts w:hint="default"/>
                <w:lang w:val="en-US" w:eastAsia="zh-CN"/>
              </w:rPr>
              <w:t>李龙</w:t>
            </w:r>
          </w:p>
        </w:tc>
        <w:tc>
          <w:tcPr>
            <w:tcW w:w="2084"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2084" w:type="dxa"/>
            <w:tcBorders>
              <w:tl2br w:val="nil"/>
              <w:tr2bl w:val="nil"/>
            </w:tcBorders>
            <w:vAlign w:val="center"/>
          </w:tcPr>
          <w:p>
            <w:pPr>
              <w:pStyle w:val="18"/>
              <w:ind w:firstLine="0" w:firstLineChars="0"/>
              <w:jc w:val="center"/>
              <w:rPr>
                <w:rFonts w:hint="default"/>
              </w:rPr>
            </w:pPr>
            <w:r>
              <w:rPr>
                <w:rFonts w:hint="default"/>
                <w:lang w:val="en-US" w:eastAsia="zh-CN"/>
              </w:rPr>
              <w:t>17770753167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rPr>
              <w:t>警戒疏散队</w:t>
            </w:r>
          </w:p>
        </w:tc>
        <w:tc>
          <w:tcPr>
            <w:tcW w:w="1754" w:type="dxa"/>
            <w:tcBorders>
              <w:tl2br w:val="nil"/>
              <w:tr2bl w:val="nil"/>
            </w:tcBorders>
            <w:vAlign w:val="center"/>
          </w:tcPr>
          <w:p>
            <w:pPr>
              <w:pStyle w:val="18"/>
              <w:ind w:firstLine="0" w:firstLineChars="0"/>
              <w:jc w:val="center"/>
              <w:rPr>
                <w:rFonts w:hint="default"/>
              </w:rPr>
            </w:pPr>
            <w:r>
              <w:rPr>
                <w:rFonts w:hint="eastAsia"/>
                <w:lang w:val="en-US" w:eastAsia="zh-CN"/>
              </w:rPr>
              <w:t>刘金林</w:t>
            </w:r>
          </w:p>
        </w:tc>
        <w:tc>
          <w:tcPr>
            <w:tcW w:w="2084"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2084" w:type="dxa"/>
            <w:tcBorders>
              <w:tl2br w:val="nil"/>
              <w:tr2bl w:val="nil"/>
            </w:tcBorders>
            <w:vAlign w:val="center"/>
          </w:tcPr>
          <w:p>
            <w:pPr>
              <w:pStyle w:val="18"/>
              <w:ind w:firstLine="0" w:firstLineChars="0"/>
              <w:jc w:val="center"/>
              <w:rPr>
                <w:rFonts w:hint="default"/>
              </w:rPr>
            </w:pPr>
            <w:r>
              <w:rPr>
                <w:rFonts w:hint="eastAsia"/>
                <w:lang w:val="en-US" w:eastAsia="zh-CN"/>
              </w:rPr>
              <w:t>15070786972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lang w:val="zh-CN"/>
              </w:rPr>
              <w:t>环境监测队</w:t>
            </w:r>
          </w:p>
        </w:tc>
        <w:tc>
          <w:tcPr>
            <w:tcW w:w="1754" w:type="dxa"/>
            <w:tcBorders>
              <w:tl2br w:val="nil"/>
              <w:tr2bl w:val="nil"/>
            </w:tcBorders>
            <w:vAlign w:val="center"/>
          </w:tcPr>
          <w:p>
            <w:pPr>
              <w:pStyle w:val="18"/>
              <w:ind w:firstLine="0" w:firstLineChars="0"/>
              <w:jc w:val="center"/>
              <w:rPr>
                <w:rFonts w:hint="default"/>
              </w:rPr>
            </w:pPr>
            <w:r>
              <w:rPr>
                <w:rFonts w:hint="eastAsia"/>
                <w:lang w:val="en-US" w:eastAsia="zh-CN"/>
              </w:rPr>
              <w:t>刘先珍</w:t>
            </w:r>
          </w:p>
        </w:tc>
        <w:tc>
          <w:tcPr>
            <w:tcW w:w="2084" w:type="dxa"/>
            <w:tcBorders>
              <w:tl2br w:val="nil"/>
              <w:tr2bl w:val="nil"/>
            </w:tcBorders>
            <w:vAlign w:val="center"/>
          </w:tcPr>
          <w:p>
            <w:pPr>
              <w:pStyle w:val="18"/>
              <w:ind w:firstLine="0" w:firstLineChars="0"/>
              <w:jc w:val="center"/>
              <w:rPr>
                <w:rFonts w:hint="default"/>
              </w:rPr>
            </w:pPr>
            <w:r>
              <w:rPr>
                <w:rFonts w:hint="eastAsia"/>
                <w:lang w:eastAsia="zh-CN"/>
              </w:rPr>
              <w:t>化验员</w:t>
            </w:r>
          </w:p>
        </w:tc>
        <w:tc>
          <w:tcPr>
            <w:tcW w:w="2084" w:type="dxa"/>
            <w:tcBorders>
              <w:tl2br w:val="nil"/>
              <w:tr2bl w:val="nil"/>
            </w:tcBorders>
            <w:vAlign w:val="center"/>
          </w:tcPr>
          <w:p>
            <w:pPr>
              <w:pStyle w:val="18"/>
              <w:ind w:firstLine="0" w:firstLineChars="0"/>
              <w:jc w:val="center"/>
              <w:rPr>
                <w:rFonts w:hint="default"/>
              </w:rPr>
            </w:pPr>
            <w:r>
              <w:rPr>
                <w:rFonts w:hint="eastAsia"/>
                <w:lang w:val="en-US" w:eastAsia="zh-CN"/>
              </w:rPr>
              <w:t>15879731105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rPr>
              <w:t>通讯及后勤保障队</w:t>
            </w:r>
          </w:p>
        </w:tc>
        <w:tc>
          <w:tcPr>
            <w:tcW w:w="1754" w:type="dxa"/>
            <w:tcBorders>
              <w:tl2br w:val="nil"/>
              <w:tr2bl w:val="nil"/>
            </w:tcBorders>
            <w:vAlign w:val="center"/>
          </w:tcPr>
          <w:p>
            <w:pPr>
              <w:pStyle w:val="18"/>
              <w:ind w:firstLine="0" w:firstLineChars="0"/>
              <w:jc w:val="center"/>
              <w:rPr>
                <w:rFonts w:hint="default"/>
              </w:rPr>
            </w:pPr>
            <w:r>
              <w:rPr>
                <w:rFonts w:hint="eastAsia"/>
                <w:lang w:val="en-US" w:eastAsia="zh-CN"/>
              </w:rPr>
              <w:t>黄惠凤</w:t>
            </w:r>
          </w:p>
        </w:tc>
        <w:tc>
          <w:tcPr>
            <w:tcW w:w="2084"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2084" w:type="dxa"/>
            <w:tcBorders>
              <w:tl2br w:val="nil"/>
              <w:tr2bl w:val="nil"/>
            </w:tcBorders>
            <w:vAlign w:val="center"/>
          </w:tcPr>
          <w:p>
            <w:pPr>
              <w:pStyle w:val="18"/>
              <w:ind w:firstLine="0" w:firstLineChars="0"/>
              <w:jc w:val="center"/>
              <w:rPr>
                <w:rFonts w:hint="default"/>
              </w:rPr>
            </w:pPr>
            <w:r>
              <w:rPr>
                <w:rFonts w:hint="eastAsia"/>
                <w:lang w:val="en-US" w:eastAsia="zh-CN"/>
              </w:rPr>
              <w:t>15779879290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2" w:type="dxa"/>
            <w:tcBorders>
              <w:tl2br w:val="nil"/>
              <w:tr2bl w:val="nil"/>
            </w:tcBorders>
            <w:vAlign w:val="center"/>
          </w:tcPr>
          <w:p>
            <w:pPr>
              <w:pStyle w:val="18"/>
              <w:rPr>
                <w:rFonts w:hint="default"/>
              </w:rPr>
            </w:pPr>
            <w:r>
              <w:rPr>
                <w:rFonts w:hint="default"/>
              </w:rPr>
              <w:t>医疗救护与善后处理队</w:t>
            </w:r>
          </w:p>
        </w:tc>
        <w:tc>
          <w:tcPr>
            <w:tcW w:w="1754" w:type="dxa"/>
            <w:tcBorders>
              <w:tl2br w:val="nil"/>
              <w:tr2bl w:val="nil"/>
            </w:tcBorders>
            <w:vAlign w:val="center"/>
          </w:tcPr>
          <w:p>
            <w:pPr>
              <w:pStyle w:val="18"/>
              <w:ind w:firstLine="0" w:firstLineChars="0"/>
              <w:jc w:val="center"/>
              <w:rPr>
                <w:rFonts w:hint="default"/>
              </w:rPr>
            </w:pPr>
            <w:r>
              <w:rPr>
                <w:rFonts w:hint="eastAsia"/>
                <w:lang w:val="en-US" w:eastAsia="zh-CN"/>
              </w:rPr>
              <w:t>陈定华</w:t>
            </w:r>
          </w:p>
        </w:tc>
        <w:tc>
          <w:tcPr>
            <w:tcW w:w="2084"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2084" w:type="dxa"/>
            <w:tcBorders>
              <w:tl2br w:val="nil"/>
              <w:tr2bl w:val="nil"/>
            </w:tcBorders>
            <w:vAlign w:val="center"/>
          </w:tcPr>
          <w:p>
            <w:pPr>
              <w:pStyle w:val="18"/>
              <w:ind w:firstLine="0" w:firstLineChars="0"/>
              <w:jc w:val="center"/>
              <w:rPr>
                <w:rFonts w:hint="default"/>
              </w:rPr>
            </w:pPr>
            <w:r>
              <w:rPr>
                <w:rFonts w:hint="eastAsia"/>
                <w:lang w:val="en-US" w:eastAsia="zh-CN"/>
              </w:rPr>
              <w:t>15979776309</w:t>
            </w:r>
          </w:p>
        </w:tc>
      </w:tr>
    </w:tbl>
    <w:p>
      <w:pPr>
        <w:pStyle w:val="33"/>
        <w:ind w:firstLine="422"/>
        <w:rPr>
          <w:rFonts w:hint="default" w:ascii="Times New Roman" w:hAnsi="Times New Roman" w:eastAsia="宋体" w:cs="Times New Roman"/>
          <w:color w:val="auto"/>
          <w:kern w:val="0"/>
          <w:highlight w:val="none"/>
          <w:u w:val="none"/>
          <w:lang w:val="en-US" w:eastAsia="zh-CN"/>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6"/>
        <w:rPr>
          <w:rFonts w:hint="default"/>
        </w:rPr>
      </w:pPr>
      <w:r>
        <w:rPr>
          <w:rFonts w:hint="default"/>
        </w:rPr>
        <w:t>表</w:t>
      </w:r>
      <w:r>
        <w:rPr>
          <w:rFonts w:hint="eastAsia"/>
          <w:lang w:val="en-US" w:eastAsia="zh-CN"/>
        </w:rPr>
        <w:t>4</w:t>
      </w:r>
      <w:r>
        <w:rPr>
          <w:rFonts w:hint="default"/>
        </w:rPr>
        <w:t>.2-</w:t>
      </w:r>
      <w:r>
        <w:rPr>
          <w:rFonts w:hint="default"/>
          <w:lang w:val="en-US" w:eastAsia="zh-CN"/>
        </w:rPr>
        <w:t>2</w:t>
      </w:r>
      <w:r>
        <w:rPr>
          <w:rFonts w:hint="default"/>
        </w:rPr>
        <w:t xml:space="preserve">   应急组织机构职责表</w:t>
      </w:r>
    </w:p>
    <w:tbl>
      <w:tblPr>
        <w:tblStyle w:val="10"/>
        <w:tblW w:w="14240" w:type="dxa"/>
        <w:tblInd w:w="-176"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1025"/>
        <w:gridCol w:w="1362"/>
        <w:gridCol w:w="1500"/>
        <w:gridCol w:w="901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p>
        </w:tc>
        <w:tc>
          <w:tcPr>
            <w:tcW w:w="1025" w:type="dxa"/>
            <w:tcBorders>
              <w:tl2br w:val="nil"/>
              <w:tr2bl w:val="nil"/>
            </w:tcBorders>
            <w:vAlign w:val="center"/>
          </w:tcPr>
          <w:p>
            <w:pPr>
              <w:pStyle w:val="18"/>
              <w:rPr>
                <w:rFonts w:hint="default"/>
              </w:rPr>
            </w:pPr>
            <w:r>
              <w:rPr>
                <w:rFonts w:hint="default"/>
              </w:rPr>
              <w:t>姓名</w:t>
            </w:r>
          </w:p>
        </w:tc>
        <w:tc>
          <w:tcPr>
            <w:tcW w:w="1362" w:type="dxa"/>
            <w:tcBorders>
              <w:tl2br w:val="nil"/>
              <w:tr2bl w:val="nil"/>
            </w:tcBorders>
            <w:vAlign w:val="center"/>
          </w:tcPr>
          <w:p>
            <w:pPr>
              <w:pStyle w:val="18"/>
              <w:rPr>
                <w:rFonts w:hint="default"/>
              </w:rPr>
            </w:pPr>
            <w:r>
              <w:rPr>
                <w:rFonts w:hint="eastAsia"/>
                <w:lang w:eastAsia="zh-CN"/>
              </w:rPr>
              <w:t>污水处理厂</w:t>
            </w:r>
            <w:r>
              <w:rPr>
                <w:rFonts w:hint="default"/>
              </w:rPr>
              <w:t>职务</w:t>
            </w:r>
          </w:p>
        </w:tc>
        <w:tc>
          <w:tcPr>
            <w:tcW w:w="1500" w:type="dxa"/>
            <w:tcBorders>
              <w:tl2br w:val="nil"/>
              <w:tr2bl w:val="nil"/>
            </w:tcBorders>
            <w:vAlign w:val="center"/>
          </w:tcPr>
          <w:p>
            <w:pPr>
              <w:pStyle w:val="18"/>
              <w:rPr>
                <w:rFonts w:hint="default"/>
              </w:rPr>
            </w:pPr>
            <w:r>
              <w:rPr>
                <w:rFonts w:hint="default"/>
              </w:rPr>
              <w:t>联系方式</w:t>
            </w:r>
          </w:p>
        </w:tc>
        <w:tc>
          <w:tcPr>
            <w:tcW w:w="9017" w:type="dxa"/>
            <w:tcBorders>
              <w:tl2br w:val="nil"/>
              <w:tr2bl w:val="nil"/>
            </w:tcBorders>
            <w:vAlign w:val="center"/>
          </w:tcPr>
          <w:p>
            <w:pPr>
              <w:pStyle w:val="18"/>
              <w:rPr>
                <w:rFonts w:hint="default"/>
              </w:rPr>
            </w:pPr>
            <w:r>
              <w:rPr>
                <w:rFonts w:hint="default"/>
              </w:rPr>
              <w:t>具体职责</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rPr>
              <w:t>总指挥</w:t>
            </w:r>
          </w:p>
        </w:tc>
        <w:tc>
          <w:tcPr>
            <w:tcW w:w="1025" w:type="dxa"/>
            <w:tcBorders>
              <w:tl2br w:val="nil"/>
              <w:tr2bl w:val="nil"/>
            </w:tcBorders>
            <w:vAlign w:val="center"/>
          </w:tcPr>
          <w:p>
            <w:pPr>
              <w:pStyle w:val="18"/>
              <w:ind w:firstLine="0" w:firstLineChars="0"/>
              <w:jc w:val="center"/>
              <w:rPr>
                <w:rFonts w:hint="default"/>
              </w:rPr>
            </w:pPr>
            <w:r>
              <w:rPr>
                <w:rFonts w:hint="eastAsia"/>
                <w:lang w:eastAsia="zh-CN"/>
              </w:rPr>
              <w:t>魏跃林</w:t>
            </w:r>
          </w:p>
        </w:tc>
        <w:tc>
          <w:tcPr>
            <w:tcW w:w="1362" w:type="dxa"/>
            <w:tcBorders>
              <w:tl2br w:val="nil"/>
              <w:tr2bl w:val="nil"/>
            </w:tcBorders>
            <w:vAlign w:val="center"/>
          </w:tcPr>
          <w:p>
            <w:pPr>
              <w:pStyle w:val="18"/>
              <w:ind w:firstLine="0" w:firstLineChars="0"/>
              <w:jc w:val="center"/>
              <w:rPr>
                <w:rFonts w:hint="default"/>
              </w:rPr>
            </w:pPr>
            <w:r>
              <w:rPr>
                <w:rFonts w:hint="default"/>
              </w:rPr>
              <w:t>厂长</w:t>
            </w:r>
          </w:p>
        </w:tc>
        <w:tc>
          <w:tcPr>
            <w:tcW w:w="1500" w:type="dxa"/>
            <w:tcBorders>
              <w:tl2br w:val="nil"/>
              <w:tr2bl w:val="nil"/>
            </w:tcBorders>
            <w:vAlign w:val="center"/>
          </w:tcPr>
          <w:p>
            <w:pPr>
              <w:pStyle w:val="18"/>
              <w:ind w:firstLine="0" w:firstLineChars="0"/>
              <w:jc w:val="center"/>
              <w:rPr>
                <w:rFonts w:hint="default"/>
              </w:rPr>
            </w:pPr>
            <w:r>
              <w:rPr>
                <w:rFonts w:hint="default"/>
              </w:rPr>
              <w:t>18779106209</w:t>
            </w:r>
          </w:p>
        </w:tc>
        <w:tc>
          <w:tcPr>
            <w:tcW w:w="9017" w:type="dxa"/>
            <w:tcBorders>
              <w:tl2br w:val="nil"/>
              <w:tr2bl w:val="nil"/>
            </w:tcBorders>
            <w:vAlign w:val="center"/>
          </w:tcPr>
          <w:p>
            <w:pPr>
              <w:pStyle w:val="18"/>
              <w:rPr>
                <w:rFonts w:hint="default"/>
                <w:lang w:val="zh-CN"/>
              </w:rPr>
            </w:pPr>
            <w:r>
              <w:rPr>
                <w:rFonts w:hint="default"/>
                <w:lang w:val="zh-CN"/>
              </w:rPr>
              <w:t>①负责组织指挥全场的应急救援工作；</w:t>
            </w:r>
          </w:p>
          <w:p>
            <w:pPr>
              <w:pStyle w:val="18"/>
              <w:rPr>
                <w:rFonts w:hint="default"/>
                <w:lang w:val="zh-CN"/>
              </w:rPr>
            </w:pPr>
            <w:r>
              <w:rPr>
                <w:rFonts w:hint="default"/>
                <w:lang w:val="zh-CN"/>
              </w:rPr>
              <w:t>②配置应急救援的人力资源、资金和应急物资；</w:t>
            </w:r>
          </w:p>
          <w:p>
            <w:pPr>
              <w:pStyle w:val="18"/>
              <w:rPr>
                <w:rFonts w:hint="default"/>
                <w:lang w:val="zh-CN"/>
              </w:rPr>
            </w:pPr>
            <w:r>
              <w:rPr>
                <w:rFonts w:hint="default"/>
                <w:lang w:val="zh-CN"/>
              </w:rPr>
              <w:t>③</w:t>
            </w:r>
            <w:r>
              <w:rPr>
                <w:rFonts w:hint="default"/>
              </w:rPr>
              <w:t>及时向政府有关部门报告事故及处置情况，接受和传达政府有关部门关于事故救援工作的批示和意见</w:t>
            </w:r>
            <w:r>
              <w:rPr>
                <w:rFonts w:hint="default"/>
                <w:lang w:val="zh-CN"/>
              </w:rPr>
              <w:t>；</w:t>
            </w:r>
          </w:p>
          <w:p>
            <w:pPr>
              <w:pStyle w:val="18"/>
              <w:rPr>
                <w:rFonts w:hint="default"/>
              </w:rPr>
            </w:pPr>
            <w:r>
              <w:rPr>
                <w:rFonts w:hint="default"/>
                <w:lang w:val="zh-CN"/>
              </w:rPr>
              <w:t>④配合、协助政府部门做好事故的应急救援。</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rPr>
              <w:t>副总指挥</w:t>
            </w:r>
          </w:p>
        </w:tc>
        <w:tc>
          <w:tcPr>
            <w:tcW w:w="1025" w:type="dxa"/>
            <w:tcBorders>
              <w:tl2br w:val="nil"/>
              <w:tr2bl w:val="nil"/>
            </w:tcBorders>
            <w:vAlign w:val="center"/>
          </w:tcPr>
          <w:p>
            <w:pPr>
              <w:pStyle w:val="18"/>
              <w:ind w:firstLine="0" w:firstLineChars="0"/>
              <w:jc w:val="center"/>
              <w:rPr>
                <w:rFonts w:hint="default"/>
              </w:rPr>
            </w:pPr>
            <w:r>
              <w:rPr>
                <w:rFonts w:hint="eastAsia"/>
                <w:lang w:eastAsia="zh-CN"/>
              </w:rPr>
              <w:t>温慧新</w:t>
            </w:r>
          </w:p>
        </w:tc>
        <w:tc>
          <w:tcPr>
            <w:tcW w:w="1362" w:type="dxa"/>
            <w:tcBorders>
              <w:tl2br w:val="nil"/>
              <w:tr2bl w:val="nil"/>
            </w:tcBorders>
            <w:vAlign w:val="center"/>
          </w:tcPr>
          <w:p>
            <w:pPr>
              <w:pStyle w:val="18"/>
              <w:ind w:firstLine="0" w:firstLineChars="0"/>
              <w:jc w:val="center"/>
              <w:rPr>
                <w:rFonts w:hint="default"/>
              </w:rPr>
            </w:pPr>
            <w:r>
              <w:rPr>
                <w:rFonts w:hint="eastAsia"/>
                <w:lang w:eastAsia="zh-CN"/>
              </w:rPr>
              <w:t>技术员</w:t>
            </w:r>
          </w:p>
        </w:tc>
        <w:tc>
          <w:tcPr>
            <w:tcW w:w="1500" w:type="dxa"/>
            <w:tcBorders>
              <w:tl2br w:val="nil"/>
              <w:tr2bl w:val="nil"/>
            </w:tcBorders>
            <w:vAlign w:val="center"/>
          </w:tcPr>
          <w:p>
            <w:pPr>
              <w:pStyle w:val="18"/>
              <w:ind w:firstLine="0" w:firstLineChars="0"/>
              <w:jc w:val="center"/>
              <w:rPr>
                <w:rFonts w:hint="default"/>
              </w:rPr>
            </w:pPr>
            <w:r>
              <w:rPr>
                <w:rFonts w:hint="default"/>
              </w:rPr>
              <w:t>18370871587</w:t>
            </w:r>
          </w:p>
        </w:tc>
        <w:tc>
          <w:tcPr>
            <w:tcW w:w="9017" w:type="dxa"/>
            <w:tcBorders>
              <w:tl2br w:val="nil"/>
              <w:tr2bl w:val="nil"/>
            </w:tcBorders>
            <w:vAlign w:val="center"/>
          </w:tcPr>
          <w:p>
            <w:pPr>
              <w:pStyle w:val="18"/>
              <w:rPr>
                <w:rFonts w:hint="default"/>
              </w:rPr>
            </w:pPr>
            <w:r>
              <w:rPr>
                <w:rFonts w:hint="default"/>
              </w:rPr>
              <w:t>①协助</w:t>
            </w:r>
            <w:r>
              <w:rPr>
                <w:rFonts w:hint="default"/>
                <w:lang w:val="zh-CN"/>
              </w:rPr>
              <w:t>总指挥进行</w:t>
            </w:r>
            <w:r>
              <w:rPr>
                <w:rFonts w:hint="default"/>
              </w:rPr>
              <w:t>具体指挥调度工作；</w:t>
            </w:r>
          </w:p>
          <w:p>
            <w:pPr>
              <w:pStyle w:val="18"/>
              <w:rPr>
                <w:rFonts w:hint="default"/>
              </w:rPr>
            </w:pPr>
            <w:r>
              <w:rPr>
                <w:rFonts w:hint="default"/>
              </w:rPr>
              <w:t>②综合协调应急现场处置工作；</w:t>
            </w:r>
          </w:p>
          <w:p>
            <w:pPr>
              <w:pStyle w:val="18"/>
              <w:rPr>
                <w:rFonts w:hint="default"/>
              </w:rPr>
            </w:pPr>
            <w:r>
              <w:rPr>
                <w:rFonts w:hint="default"/>
              </w:rPr>
              <w:t>③及时、准确向总指挥汇报现场情况。</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rPr>
              <w:t>应急指挥部办公室</w:t>
            </w:r>
          </w:p>
        </w:tc>
        <w:tc>
          <w:tcPr>
            <w:tcW w:w="1025" w:type="dxa"/>
            <w:tcBorders>
              <w:tl2br w:val="nil"/>
              <w:tr2bl w:val="nil"/>
            </w:tcBorders>
            <w:vAlign w:val="center"/>
          </w:tcPr>
          <w:p>
            <w:pPr>
              <w:pStyle w:val="18"/>
              <w:ind w:firstLine="0" w:firstLineChars="0"/>
              <w:jc w:val="center"/>
              <w:rPr>
                <w:rFonts w:hint="default"/>
              </w:rPr>
            </w:pPr>
            <w:r>
              <w:rPr>
                <w:rFonts w:hint="default"/>
                <w:lang w:val="en-US" w:eastAsia="zh-CN"/>
              </w:rPr>
              <w:t>刘昊</w:t>
            </w:r>
          </w:p>
        </w:tc>
        <w:tc>
          <w:tcPr>
            <w:tcW w:w="1362"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1500" w:type="dxa"/>
            <w:tcBorders>
              <w:tl2br w:val="nil"/>
              <w:tr2bl w:val="nil"/>
            </w:tcBorders>
            <w:vAlign w:val="center"/>
          </w:tcPr>
          <w:p>
            <w:pPr>
              <w:pStyle w:val="18"/>
              <w:ind w:firstLine="0" w:firstLineChars="0"/>
              <w:jc w:val="center"/>
              <w:rPr>
                <w:rFonts w:hint="default"/>
              </w:rPr>
            </w:pPr>
            <w:r>
              <w:rPr>
                <w:rFonts w:hint="default"/>
              </w:rPr>
              <w:t>17770771429</w:t>
            </w:r>
          </w:p>
        </w:tc>
        <w:tc>
          <w:tcPr>
            <w:tcW w:w="9017" w:type="dxa"/>
            <w:tcBorders>
              <w:tl2br w:val="nil"/>
              <w:tr2bl w:val="nil"/>
            </w:tcBorders>
            <w:vAlign w:val="center"/>
          </w:tcPr>
          <w:p>
            <w:pPr>
              <w:pStyle w:val="18"/>
              <w:rPr>
                <w:rFonts w:hint="default"/>
              </w:rPr>
            </w:pPr>
            <w:r>
              <w:rPr>
                <w:rFonts w:hint="default"/>
              </w:rPr>
              <w:t>①负责环境应急日常管理工作，包括制度管理、人员培训、应急物资更新储备、应急演练等；</w:t>
            </w:r>
          </w:p>
          <w:p>
            <w:pPr>
              <w:pStyle w:val="18"/>
              <w:rPr>
                <w:rFonts w:hint="default"/>
              </w:rPr>
            </w:pPr>
            <w:r>
              <w:rPr>
                <w:rFonts w:hint="default"/>
              </w:rPr>
              <w:t>②协调一般事故的处置；</w:t>
            </w:r>
          </w:p>
          <w:p>
            <w:pPr>
              <w:pStyle w:val="18"/>
              <w:rPr>
                <w:rFonts w:hint="default"/>
              </w:rPr>
            </w:pPr>
            <w:r>
              <w:rPr>
                <w:rFonts w:hint="default"/>
              </w:rPr>
              <w:t>③应急状态下协助应急指挥部综合协调应急处置工作，按应急总指挥指示，负责事故信息发布工作；</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rPr>
              <w:t>抢险救灾队</w:t>
            </w:r>
          </w:p>
        </w:tc>
        <w:tc>
          <w:tcPr>
            <w:tcW w:w="1025" w:type="dxa"/>
            <w:tcBorders>
              <w:tl2br w:val="nil"/>
              <w:tr2bl w:val="nil"/>
            </w:tcBorders>
            <w:vAlign w:val="center"/>
          </w:tcPr>
          <w:p>
            <w:pPr>
              <w:pStyle w:val="18"/>
              <w:ind w:firstLine="0" w:firstLineChars="0"/>
              <w:jc w:val="center"/>
              <w:rPr>
                <w:rFonts w:hint="default"/>
              </w:rPr>
            </w:pPr>
            <w:r>
              <w:rPr>
                <w:rFonts w:hint="default"/>
                <w:lang w:val="en-US" w:eastAsia="zh-CN"/>
              </w:rPr>
              <w:t>李龙</w:t>
            </w:r>
          </w:p>
        </w:tc>
        <w:tc>
          <w:tcPr>
            <w:tcW w:w="1362"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1500" w:type="dxa"/>
            <w:tcBorders>
              <w:tl2br w:val="nil"/>
              <w:tr2bl w:val="nil"/>
            </w:tcBorders>
            <w:vAlign w:val="center"/>
          </w:tcPr>
          <w:p>
            <w:pPr>
              <w:pStyle w:val="18"/>
              <w:ind w:firstLine="0" w:firstLineChars="0"/>
              <w:jc w:val="center"/>
              <w:rPr>
                <w:rFonts w:hint="default"/>
              </w:rPr>
            </w:pPr>
            <w:r>
              <w:rPr>
                <w:rFonts w:hint="default"/>
                <w:lang w:val="en-US" w:eastAsia="zh-CN"/>
              </w:rPr>
              <w:t>17770753167</w:t>
            </w:r>
          </w:p>
        </w:tc>
        <w:tc>
          <w:tcPr>
            <w:tcW w:w="9017" w:type="dxa"/>
            <w:tcBorders>
              <w:tl2br w:val="nil"/>
              <w:tr2bl w:val="nil"/>
            </w:tcBorders>
            <w:vAlign w:val="center"/>
          </w:tcPr>
          <w:p>
            <w:pPr>
              <w:pStyle w:val="18"/>
              <w:rPr>
                <w:rFonts w:hint="default"/>
              </w:rPr>
            </w:pPr>
            <w:r>
              <w:rPr>
                <w:rFonts w:hint="default"/>
              </w:rPr>
              <w:t>①迅速分析、判定引发事故的基本原因、事故的类别、事故性质及其波及范围和制约因素等基本状况，对事态发展的趋势和可能导致的事故后果快速作出初步判断，并向现场指挥部提供应急意见；</w:t>
            </w:r>
          </w:p>
          <w:p>
            <w:pPr>
              <w:pStyle w:val="18"/>
              <w:rPr>
                <w:rFonts w:hint="default"/>
              </w:rPr>
            </w:pPr>
            <w:r>
              <w:rPr>
                <w:rFonts w:hint="default"/>
              </w:rPr>
              <w:t>②迅速制定应急方案；</w:t>
            </w:r>
          </w:p>
          <w:p>
            <w:pPr>
              <w:pStyle w:val="18"/>
              <w:rPr>
                <w:rFonts w:hint="default"/>
              </w:rPr>
            </w:pPr>
            <w:r>
              <w:rPr>
                <w:rFonts w:hint="default"/>
              </w:rPr>
              <w:t>③快速实施应对措施，适时调整处置方法，确保污染物达标稳定排放；</w:t>
            </w:r>
          </w:p>
          <w:p>
            <w:pPr>
              <w:pStyle w:val="18"/>
              <w:rPr>
                <w:rFonts w:hint="default"/>
              </w:rPr>
            </w:pPr>
            <w:r>
              <w:rPr>
                <w:rFonts w:hint="default"/>
              </w:rPr>
              <w:t>④尽快查明和确定事故源头，减少污水的外排；</w:t>
            </w:r>
          </w:p>
          <w:p>
            <w:pPr>
              <w:pStyle w:val="18"/>
              <w:rPr>
                <w:rFonts w:hint="default"/>
              </w:rPr>
            </w:pPr>
            <w:r>
              <w:rPr>
                <w:rFonts w:hint="default"/>
              </w:rPr>
              <w:t>⑤当判定靠自身的力量无法控制和消除险情而确定需要外援时，即刻向应急调度中心报告，且协助做好衔接与配合等相关事宜。</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rPr>
              <w:t>警戒疏散队</w:t>
            </w:r>
          </w:p>
        </w:tc>
        <w:tc>
          <w:tcPr>
            <w:tcW w:w="1025" w:type="dxa"/>
            <w:tcBorders>
              <w:tl2br w:val="nil"/>
              <w:tr2bl w:val="nil"/>
            </w:tcBorders>
            <w:vAlign w:val="center"/>
          </w:tcPr>
          <w:p>
            <w:pPr>
              <w:pStyle w:val="18"/>
              <w:ind w:firstLine="0" w:firstLineChars="0"/>
              <w:jc w:val="center"/>
              <w:rPr>
                <w:rFonts w:hint="default"/>
              </w:rPr>
            </w:pPr>
            <w:r>
              <w:rPr>
                <w:rFonts w:hint="eastAsia"/>
                <w:lang w:val="en-US" w:eastAsia="zh-CN"/>
              </w:rPr>
              <w:t>刘金林</w:t>
            </w:r>
          </w:p>
        </w:tc>
        <w:tc>
          <w:tcPr>
            <w:tcW w:w="1362"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1500" w:type="dxa"/>
            <w:tcBorders>
              <w:tl2br w:val="nil"/>
              <w:tr2bl w:val="nil"/>
            </w:tcBorders>
            <w:vAlign w:val="center"/>
          </w:tcPr>
          <w:p>
            <w:pPr>
              <w:pStyle w:val="18"/>
              <w:ind w:firstLine="0" w:firstLineChars="0"/>
              <w:jc w:val="center"/>
              <w:rPr>
                <w:rFonts w:hint="default"/>
              </w:rPr>
            </w:pPr>
            <w:r>
              <w:rPr>
                <w:rFonts w:hint="eastAsia"/>
                <w:lang w:val="en-US" w:eastAsia="zh-CN"/>
              </w:rPr>
              <w:t>15070786972</w:t>
            </w:r>
          </w:p>
        </w:tc>
        <w:tc>
          <w:tcPr>
            <w:tcW w:w="9017" w:type="dxa"/>
            <w:tcBorders>
              <w:tl2br w:val="nil"/>
              <w:tr2bl w:val="nil"/>
            </w:tcBorders>
            <w:vAlign w:val="center"/>
          </w:tcPr>
          <w:p>
            <w:pPr>
              <w:pStyle w:val="18"/>
              <w:rPr>
                <w:rFonts w:hint="default"/>
              </w:rPr>
            </w:pPr>
            <w:r>
              <w:rPr>
                <w:rFonts w:hint="default"/>
                <w:lang w:val="zh-CN"/>
              </w:rPr>
              <w:t>主要负责事件现场临时警戒工作与影响范围内人员的疏散工作。</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lang w:val="zh-CN"/>
              </w:rPr>
              <w:t>环境监测队</w:t>
            </w:r>
          </w:p>
        </w:tc>
        <w:tc>
          <w:tcPr>
            <w:tcW w:w="1025" w:type="dxa"/>
            <w:tcBorders>
              <w:tl2br w:val="nil"/>
              <w:tr2bl w:val="nil"/>
            </w:tcBorders>
            <w:vAlign w:val="center"/>
          </w:tcPr>
          <w:p>
            <w:pPr>
              <w:pStyle w:val="18"/>
              <w:ind w:firstLine="0" w:firstLineChars="0"/>
              <w:jc w:val="center"/>
              <w:rPr>
                <w:rFonts w:hint="default"/>
              </w:rPr>
            </w:pPr>
            <w:r>
              <w:rPr>
                <w:rFonts w:hint="eastAsia"/>
                <w:lang w:val="en-US" w:eastAsia="zh-CN"/>
              </w:rPr>
              <w:t>刘先珍</w:t>
            </w:r>
          </w:p>
        </w:tc>
        <w:tc>
          <w:tcPr>
            <w:tcW w:w="1362" w:type="dxa"/>
            <w:tcBorders>
              <w:tl2br w:val="nil"/>
              <w:tr2bl w:val="nil"/>
            </w:tcBorders>
            <w:vAlign w:val="center"/>
          </w:tcPr>
          <w:p>
            <w:pPr>
              <w:pStyle w:val="18"/>
              <w:ind w:firstLine="0" w:firstLineChars="0"/>
              <w:jc w:val="center"/>
              <w:rPr>
                <w:rFonts w:hint="default"/>
              </w:rPr>
            </w:pPr>
            <w:r>
              <w:rPr>
                <w:rFonts w:hint="eastAsia"/>
                <w:lang w:eastAsia="zh-CN"/>
              </w:rPr>
              <w:t>化验员</w:t>
            </w:r>
          </w:p>
        </w:tc>
        <w:tc>
          <w:tcPr>
            <w:tcW w:w="1500" w:type="dxa"/>
            <w:tcBorders>
              <w:tl2br w:val="nil"/>
              <w:tr2bl w:val="nil"/>
            </w:tcBorders>
            <w:vAlign w:val="center"/>
          </w:tcPr>
          <w:p>
            <w:pPr>
              <w:pStyle w:val="18"/>
              <w:ind w:firstLine="0" w:firstLineChars="0"/>
              <w:jc w:val="center"/>
              <w:rPr>
                <w:rFonts w:hint="default"/>
              </w:rPr>
            </w:pPr>
            <w:r>
              <w:rPr>
                <w:rFonts w:hint="eastAsia"/>
                <w:lang w:val="en-US" w:eastAsia="zh-CN"/>
              </w:rPr>
              <w:t>15879731105</w:t>
            </w:r>
          </w:p>
        </w:tc>
        <w:tc>
          <w:tcPr>
            <w:tcW w:w="9017" w:type="dxa"/>
            <w:tcBorders>
              <w:tl2br w:val="nil"/>
              <w:tr2bl w:val="nil"/>
            </w:tcBorders>
            <w:vAlign w:val="center"/>
          </w:tcPr>
          <w:p>
            <w:pPr>
              <w:pStyle w:val="18"/>
              <w:rPr>
                <w:rFonts w:hint="default"/>
              </w:rPr>
            </w:pPr>
            <w:r>
              <w:rPr>
                <w:rFonts w:hint="default"/>
              </w:rPr>
              <w:t>①对事故现场存在的危害因素进行检测并做出分析结论；确定危害因素的种类和环境受污染的程度；划定环境受污染的区域和等级；向现场指挥部提供环境污染信息和警示。</w:t>
            </w:r>
          </w:p>
          <w:p>
            <w:pPr>
              <w:pStyle w:val="18"/>
              <w:rPr>
                <w:rFonts w:hint="default"/>
                <w:lang w:val="zh-CN"/>
              </w:rPr>
            </w:pPr>
            <w:r>
              <w:rPr>
                <w:rFonts w:hint="default"/>
              </w:rPr>
              <w:t>②事故后，向现场指挥部提交受损环境修复的实施方案和措施，并进行监督和指导。</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rPr>
              <w:t>通讯及后勤保障队</w:t>
            </w:r>
          </w:p>
        </w:tc>
        <w:tc>
          <w:tcPr>
            <w:tcW w:w="1025" w:type="dxa"/>
            <w:tcBorders>
              <w:tl2br w:val="nil"/>
              <w:tr2bl w:val="nil"/>
            </w:tcBorders>
            <w:vAlign w:val="center"/>
          </w:tcPr>
          <w:p>
            <w:pPr>
              <w:pStyle w:val="18"/>
              <w:ind w:firstLine="0" w:firstLineChars="0"/>
              <w:jc w:val="center"/>
              <w:rPr>
                <w:rFonts w:hint="default"/>
              </w:rPr>
            </w:pPr>
            <w:r>
              <w:rPr>
                <w:rFonts w:hint="eastAsia"/>
                <w:lang w:val="en-US" w:eastAsia="zh-CN"/>
              </w:rPr>
              <w:t>黄惠凤</w:t>
            </w:r>
          </w:p>
        </w:tc>
        <w:tc>
          <w:tcPr>
            <w:tcW w:w="1362"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1500" w:type="dxa"/>
            <w:tcBorders>
              <w:tl2br w:val="nil"/>
              <w:tr2bl w:val="nil"/>
            </w:tcBorders>
            <w:vAlign w:val="center"/>
          </w:tcPr>
          <w:p>
            <w:pPr>
              <w:pStyle w:val="18"/>
              <w:ind w:firstLine="0" w:firstLineChars="0"/>
              <w:jc w:val="center"/>
              <w:rPr>
                <w:rFonts w:hint="default"/>
              </w:rPr>
            </w:pPr>
            <w:r>
              <w:rPr>
                <w:rFonts w:hint="eastAsia"/>
                <w:lang w:val="en-US" w:eastAsia="zh-CN"/>
              </w:rPr>
              <w:t>15779879290</w:t>
            </w:r>
          </w:p>
        </w:tc>
        <w:tc>
          <w:tcPr>
            <w:tcW w:w="9017" w:type="dxa"/>
            <w:tcBorders>
              <w:tl2br w:val="nil"/>
              <w:tr2bl w:val="nil"/>
            </w:tcBorders>
            <w:vAlign w:val="center"/>
          </w:tcPr>
          <w:p>
            <w:pPr>
              <w:pStyle w:val="18"/>
              <w:rPr>
                <w:rFonts w:hint="default"/>
              </w:rPr>
            </w:pPr>
            <w:r>
              <w:rPr>
                <w:rFonts w:hint="default"/>
              </w:rPr>
              <w:t>①确保应急现场、应急指挥中心、应急救援人员、外部增援联系畅通，并迅速准确反馈信息；</w:t>
            </w:r>
          </w:p>
          <w:p>
            <w:pPr>
              <w:pStyle w:val="18"/>
              <w:rPr>
                <w:rFonts w:hint="default"/>
                <w:lang w:val="zh-CN"/>
              </w:rPr>
            </w:pPr>
            <w:r>
              <w:rPr>
                <w:rFonts w:hint="default"/>
              </w:rPr>
              <w:t>②保障事故救援所需水、电、气等物资的供应。</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336" w:type="dxa"/>
            <w:tcBorders>
              <w:tl2br w:val="nil"/>
              <w:tr2bl w:val="nil"/>
            </w:tcBorders>
            <w:vAlign w:val="center"/>
          </w:tcPr>
          <w:p>
            <w:pPr>
              <w:pStyle w:val="18"/>
              <w:rPr>
                <w:rFonts w:hint="default"/>
              </w:rPr>
            </w:pPr>
            <w:r>
              <w:rPr>
                <w:rFonts w:hint="default"/>
              </w:rPr>
              <w:t>医疗救护与善后处理队</w:t>
            </w:r>
          </w:p>
        </w:tc>
        <w:tc>
          <w:tcPr>
            <w:tcW w:w="1025" w:type="dxa"/>
            <w:tcBorders>
              <w:tl2br w:val="nil"/>
              <w:tr2bl w:val="nil"/>
            </w:tcBorders>
            <w:vAlign w:val="center"/>
          </w:tcPr>
          <w:p>
            <w:pPr>
              <w:pStyle w:val="18"/>
              <w:ind w:firstLine="0" w:firstLineChars="0"/>
              <w:jc w:val="center"/>
              <w:rPr>
                <w:rFonts w:hint="default"/>
              </w:rPr>
            </w:pPr>
            <w:r>
              <w:rPr>
                <w:rFonts w:hint="eastAsia"/>
                <w:lang w:val="en-US" w:eastAsia="zh-CN"/>
              </w:rPr>
              <w:t>陈定华</w:t>
            </w:r>
          </w:p>
        </w:tc>
        <w:tc>
          <w:tcPr>
            <w:tcW w:w="1362" w:type="dxa"/>
            <w:tcBorders>
              <w:tl2br w:val="nil"/>
              <w:tr2bl w:val="nil"/>
            </w:tcBorders>
            <w:vAlign w:val="center"/>
          </w:tcPr>
          <w:p>
            <w:pPr>
              <w:pStyle w:val="18"/>
              <w:ind w:firstLine="0" w:firstLineChars="0"/>
              <w:jc w:val="center"/>
              <w:rPr>
                <w:rFonts w:hint="default"/>
              </w:rPr>
            </w:pPr>
            <w:r>
              <w:rPr>
                <w:rFonts w:hint="eastAsia"/>
                <w:lang w:eastAsia="zh-CN"/>
              </w:rPr>
              <w:t>运行工</w:t>
            </w:r>
          </w:p>
        </w:tc>
        <w:tc>
          <w:tcPr>
            <w:tcW w:w="1500" w:type="dxa"/>
            <w:tcBorders>
              <w:tl2br w:val="nil"/>
              <w:tr2bl w:val="nil"/>
            </w:tcBorders>
            <w:vAlign w:val="center"/>
          </w:tcPr>
          <w:p>
            <w:pPr>
              <w:pStyle w:val="18"/>
              <w:ind w:firstLine="0" w:firstLineChars="0"/>
              <w:jc w:val="center"/>
              <w:rPr>
                <w:rFonts w:hint="default"/>
              </w:rPr>
            </w:pPr>
            <w:r>
              <w:rPr>
                <w:rFonts w:hint="eastAsia"/>
                <w:lang w:val="en-US" w:eastAsia="zh-CN"/>
              </w:rPr>
              <w:t>15979776309</w:t>
            </w:r>
          </w:p>
        </w:tc>
        <w:tc>
          <w:tcPr>
            <w:tcW w:w="9017" w:type="dxa"/>
            <w:tcBorders>
              <w:tl2br w:val="nil"/>
              <w:tr2bl w:val="nil"/>
            </w:tcBorders>
            <w:vAlign w:val="center"/>
          </w:tcPr>
          <w:p>
            <w:pPr>
              <w:pStyle w:val="18"/>
              <w:rPr>
                <w:rFonts w:hint="default"/>
              </w:rPr>
            </w:pPr>
            <w:r>
              <w:rPr>
                <w:rFonts w:hint="default"/>
              </w:rPr>
              <w:t>①负责突发环境事件下的人员救治、联系送医、陪送伤者、联络伤者家属等工作；</w:t>
            </w:r>
          </w:p>
          <w:p>
            <w:pPr>
              <w:pStyle w:val="18"/>
              <w:rPr>
                <w:rFonts w:hint="default"/>
              </w:rPr>
            </w:pPr>
            <w:r>
              <w:rPr>
                <w:rFonts w:hint="default"/>
              </w:rPr>
              <w:t>②综合负责现场清理的废水、废液、废渣等处理处置，污染场地清理恢复等应急善后处理工作。</w:t>
            </w:r>
          </w:p>
        </w:tc>
      </w:tr>
    </w:tbl>
    <w:p>
      <w:pPr>
        <w:pStyle w:val="3"/>
        <w:numPr>
          <w:ilvl w:val="0"/>
          <w:numId w:val="0"/>
        </w:numPr>
        <w:ind w:leftChars="0"/>
        <w:jc w:val="both"/>
        <w:rPr>
          <w:rFonts w:hint="eastAsia" w:cs="Times New Roman"/>
          <w:color w:val="auto"/>
          <w:highlight w:val="none"/>
          <w:u w:val="none"/>
          <w:lang w:val="en-US" w:eastAsia="zh-CN"/>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bookmarkStart w:id="256" w:name="_Toc29795"/>
      <w:r>
        <w:rPr>
          <w:rFonts w:hint="eastAsia" w:cs="Times New Roman"/>
          <w:color w:val="auto"/>
          <w:highlight w:val="none"/>
          <w:u w:val="none"/>
          <w:lang w:val="en-US" w:eastAsia="zh-CN"/>
        </w:rPr>
        <w:br w:type="page"/>
      </w:r>
    </w:p>
    <w:p>
      <w:pPr>
        <w:pStyle w:val="19"/>
        <w:rPr>
          <w:rFonts w:hint="default"/>
          <w:lang w:val="en-US" w:eastAsia="zh-CN"/>
        </w:rPr>
      </w:pPr>
      <w:bookmarkStart w:id="257" w:name="_Toc24673_WPSOffice_Level1"/>
      <w:bookmarkStart w:id="258" w:name="_Toc8224"/>
      <w:bookmarkStart w:id="259" w:name="_Toc15857"/>
      <w:r>
        <w:rPr>
          <w:rFonts w:hint="eastAsia"/>
          <w:lang w:val="en-US" w:eastAsia="zh-CN"/>
        </w:rPr>
        <w:t>5</w:t>
      </w:r>
      <w:r>
        <w:rPr>
          <w:rFonts w:hint="default"/>
          <w:lang w:val="en-US" w:eastAsia="zh-CN"/>
        </w:rPr>
        <w:t>预防和预警机制</w:t>
      </w:r>
      <w:bookmarkEnd w:id="256"/>
      <w:bookmarkEnd w:id="257"/>
      <w:bookmarkEnd w:id="258"/>
      <w:bookmarkEnd w:id="259"/>
    </w:p>
    <w:p>
      <w:pPr>
        <w:pStyle w:val="20"/>
        <w:rPr>
          <w:rFonts w:hint="default"/>
        </w:rPr>
      </w:pPr>
      <w:bookmarkStart w:id="260" w:name="_Toc20291"/>
      <w:bookmarkStart w:id="261" w:name="_Toc21500_WPSOffice_Level1"/>
      <w:bookmarkStart w:id="262" w:name="_Toc15848"/>
      <w:bookmarkStart w:id="263" w:name="_Toc21695"/>
      <w:r>
        <w:rPr>
          <w:rFonts w:hint="eastAsia"/>
          <w:lang w:val="en-US" w:eastAsia="zh-CN"/>
        </w:rPr>
        <w:t>5.1</w:t>
      </w:r>
      <w:r>
        <w:rPr>
          <w:rFonts w:hint="default"/>
          <w:lang w:eastAsia="zh-CN"/>
        </w:rPr>
        <w:t>应急准备</w:t>
      </w:r>
      <w:bookmarkEnd w:id="260"/>
      <w:bookmarkEnd w:id="261"/>
      <w:bookmarkEnd w:id="262"/>
      <w:bookmarkEnd w:id="263"/>
    </w:p>
    <w:p>
      <w:pPr>
        <w:pStyle w:val="14"/>
        <w:rPr>
          <w:rFonts w:hint="default"/>
        </w:rPr>
      </w:pPr>
      <w:r>
        <w:rPr>
          <w:rFonts w:hint="default"/>
        </w:rPr>
        <w:t>应急组织机构根据自己的职责需开展的应急准备工作见下表。</w:t>
      </w:r>
    </w:p>
    <w:p>
      <w:pPr>
        <w:pStyle w:val="16"/>
        <w:rPr>
          <w:rFonts w:hint="default"/>
        </w:rPr>
      </w:pPr>
      <w:r>
        <w:rPr>
          <w:rFonts w:hint="default"/>
        </w:rPr>
        <w:t xml:space="preserve">表 </w:t>
      </w:r>
      <w:r>
        <w:rPr>
          <w:rFonts w:hint="eastAsia"/>
          <w:lang w:val="en-US" w:eastAsia="zh-CN"/>
        </w:rPr>
        <w:t>5</w:t>
      </w:r>
      <w:r>
        <w:rPr>
          <w:rFonts w:hint="default"/>
        </w:rPr>
        <w:t>.1</w:t>
      </w:r>
      <w:r>
        <w:rPr>
          <w:rFonts w:hint="default"/>
        </w:rPr>
        <w:noBreakHyphen/>
      </w:r>
      <w:r>
        <w:rPr>
          <w:rFonts w:hint="default"/>
        </w:rPr>
        <w:fldChar w:fldCharType="begin"/>
      </w:r>
      <w:r>
        <w:rPr>
          <w:rFonts w:hint="default"/>
        </w:rPr>
        <w:instrText xml:space="preserve"> SEQ 表 \* ARABIC \s 1 </w:instrText>
      </w:r>
      <w:r>
        <w:rPr>
          <w:rFonts w:hint="default"/>
        </w:rPr>
        <w:fldChar w:fldCharType="separate"/>
      </w:r>
      <w:r>
        <w:rPr>
          <w:rFonts w:hint="default"/>
        </w:rPr>
        <w:t>1</w:t>
      </w:r>
      <w:r>
        <w:rPr>
          <w:rFonts w:hint="default"/>
        </w:rPr>
        <w:fldChar w:fldCharType="end"/>
      </w:r>
      <w:r>
        <w:rPr>
          <w:rFonts w:hint="default"/>
        </w:rPr>
        <w:t xml:space="preserve">   应急准备</w:t>
      </w:r>
    </w:p>
    <w:tbl>
      <w:tblPr>
        <w:tblStyle w:val="10"/>
        <w:tblW w:w="8334"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5958"/>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应急组织机构</w:t>
            </w:r>
          </w:p>
        </w:tc>
        <w:tc>
          <w:tcPr>
            <w:tcW w:w="5958" w:type="dxa"/>
            <w:tcBorders>
              <w:tl2br w:val="nil"/>
              <w:tr2bl w:val="nil"/>
            </w:tcBorders>
            <w:vAlign w:val="center"/>
          </w:tcPr>
          <w:p>
            <w:pPr>
              <w:pStyle w:val="18"/>
              <w:rPr>
                <w:rFonts w:hint="default"/>
              </w:rPr>
            </w:pPr>
            <w:r>
              <w:rPr>
                <w:rFonts w:hint="default"/>
              </w:rPr>
              <w:t>需开展的应急准备工作</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vMerge w:val="restart"/>
            <w:tcBorders>
              <w:tl2br w:val="nil"/>
              <w:tr2bl w:val="nil"/>
            </w:tcBorders>
            <w:vAlign w:val="center"/>
          </w:tcPr>
          <w:p>
            <w:pPr>
              <w:pStyle w:val="18"/>
              <w:rPr>
                <w:rFonts w:hint="default"/>
              </w:rPr>
            </w:pPr>
            <w:r>
              <w:rPr>
                <w:rFonts w:hint="default"/>
              </w:rPr>
              <w:t>应急指挥部</w:t>
            </w:r>
          </w:p>
        </w:tc>
        <w:tc>
          <w:tcPr>
            <w:tcW w:w="5958" w:type="dxa"/>
            <w:tcBorders>
              <w:tl2br w:val="nil"/>
              <w:tr2bl w:val="nil"/>
            </w:tcBorders>
            <w:vAlign w:val="center"/>
          </w:tcPr>
          <w:p>
            <w:pPr>
              <w:pStyle w:val="18"/>
              <w:rPr>
                <w:rFonts w:hint="default"/>
              </w:rPr>
            </w:pPr>
            <w:r>
              <w:rPr>
                <w:rFonts w:hint="default"/>
              </w:rPr>
              <w:t>各项应急准备工作的审批、参与和监督</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vMerge w:val="continue"/>
            <w:tcBorders>
              <w:tl2br w:val="nil"/>
              <w:tr2bl w:val="nil"/>
            </w:tcBorders>
            <w:vAlign w:val="center"/>
          </w:tcPr>
          <w:p>
            <w:pPr>
              <w:pStyle w:val="18"/>
              <w:rPr>
                <w:rFonts w:hint="default"/>
              </w:rPr>
            </w:pPr>
          </w:p>
        </w:tc>
        <w:tc>
          <w:tcPr>
            <w:tcW w:w="5958" w:type="dxa"/>
            <w:tcBorders>
              <w:tl2br w:val="nil"/>
              <w:tr2bl w:val="nil"/>
            </w:tcBorders>
            <w:vAlign w:val="center"/>
          </w:tcPr>
          <w:p>
            <w:pPr>
              <w:pStyle w:val="18"/>
              <w:rPr>
                <w:rFonts w:hint="default"/>
              </w:rPr>
            </w:pPr>
            <w:r>
              <w:rPr>
                <w:rFonts w:hint="default"/>
              </w:rPr>
              <w:t>完善应急预案、组织应急培训、演练、应急平台建设等</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通讯联络</w:t>
            </w:r>
          </w:p>
        </w:tc>
        <w:tc>
          <w:tcPr>
            <w:tcW w:w="5958" w:type="dxa"/>
            <w:tcBorders>
              <w:tl2br w:val="nil"/>
              <w:tr2bl w:val="nil"/>
            </w:tcBorders>
            <w:vAlign w:val="center"/>
          </w:tcPr>
          <w:p>
            <w:pPr>
              <w:pStyle w:val="18"/>
              <w:rPr>
                <w:rFonts w:hint="default"/>
              </w:rPr>
            </w:pPr>
            <w:r>
              <w:rPr>
                <w:rFonts w:hint="default"/>
              </w:rPr>
              <w:t>做好日常应急通讯设施的维护管理及应急机构通讯名录的更新</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抢险救援组</w:t>
            </w:r>
          </w:p>
        </w:tc>
        <w:tc>
          <w:tcPr>
            <w:tcW w:w="5958" w:type="dxa"/>
            <w:tcBorders>
              <w:tl2br w:val="nil"/>
              <w:tr2bl w:val="nil"/>
            </w:tcBorders>
            <w:vAlign w:val="center"/>
          </w:tcPr>
          <w:p>
            <w:pPr>
              <w:pStyle w:val="18"/>
              <w:rPr>
                <w:rFonts w:hint="default"/>
              </w:rPr>
            </w:pPr>
            <w:r>
              <w:rPr>
                <w:rFonts w:hint="default"/>
              </w:rPr>
              <w:t>掌握不同类别突发环境事件的抢险救援方法</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警戒疏散组</w:t>
            </w:r>
          </w:p>
        </w:tc>
        <w:tc>
          <w:tcPr>
            <w:tcW w:w="5958" w:type="dxa"/>
            <w:tcBorders>
              <w:tl2br w:val="nil"/>
              <w:tr2bl w:val="nil"/>
            </w:tcBorders>
            <w:vAlign w:val="center"/>
          </w:tcPr>
          <w:p>
            <w:pPr>
              <w:pStyle w:val="18"/>
              <w:rPr>
                <w:rFonts w:hint="default"/>
              </w:rPr>
            </w:pPr>
            <w:r>
              <w:rPr>
                <w:rFonts w:hint="default"/>
              </w:rPr>
              <w:t>熟悉区域地形和环境概况</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应急环境监测组</w:t>
            </w:r>
          </w:p>
        </w:tc>
        <w:tc>
          <w:tcPr>
            <w:tcW w:w="5958" w:type="dxa"/>
            <w:tcBorders>
              <w:tl2br w:val="nil"/>
              <w:tr2bl w:val="nil"/>
            </w:tcBorders>
            <w:vAlign w:val="center"/>
          </w:tcPr>
          <w:p>
            <w:pPr>
              <w:pStyle w:val="18"/>
              <w:rPr>
                <w:rFonts w:hint="default"/>
              </w:rPr>
            </w:pPr>
            <w:r>
              <w:rPr>
                <w:rFonts w:hint="default"/>
              </w:rPr>
              <w:t>做好应急监测设备仪器的日常维护，掌握相关应急监测技术</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医疗救护组</w:t>
            </w:r>
          </w:p>
        </w:tc>
        <w:tc>
          <w:tcPr>
            <w:tcW w:w="5958" w:type="dxa"/>
            <w:tcBorders>
              <w:tl2br w:val="nil"/>
              <w:tr2bl w:val="nil"/>
            </w:tcBorders>
            <w:vAlign w:val="center"/>
          </w:tcPr>
          <w:p>
            <w:pPr>
              <w:pStyle w:val="18"/>
              <w:rPr>
                <w:rFonts w:hint="default"/>
              </w:rPr>
            </w:pPr>
            <w:r>
              <w:rPr>
                <w:rFonts w:hint="default"/>
              </w:rPr>
              <w:t>做好急救设备保养和维护工作，掌握相关急救方法</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物资保障组</w:t>
            </w:r>
          </w:p>
        </w:tc>
        <w:tc>
          <w:tcPr>
            <w:tcW w:w="5958" w:type="dxa"/>
            <w:tcBorders>
              <w:tl2br w:val="nil"/>
              <w:tr2bl w:val="nil"/>
            </w:tcBorders>
            <w:vAlign w:val="center"/>
          </w:tcPr>
          <w:p>
            <w:pPr>
              <w:pStyle w:val="18"/>
              <w:rPr>
                <w:rFonts w:hint="default"/>
              </w:rPr>
            </w:pPr>
            <w:r>
              <w:rPr>
                <w:rFonts w:hint="default"/>
              </w:rPr>
              <w:t>做好应急物资装备、车辆的储备和维护工作</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应急专家组</w:t>
            </w:r>
          </w:p>
        </w:tc>
        <w:tc>
          <w:tcPr>
            <w:tcW w:w="5958" w:type="dxa"/>
            <w:tcBorders>
              <w:tl2br w:val="nil"/>
              <w:tr2bl w:val="nil"/>
            </w:tcBorders>
            <w:vAlign w:val="center"/>
          </w:tcPr>
          <w:p>
            <w:pPr>
              <w:pStyle w:val="18"/>
              <w:rPr>
                <w:rFonts w:hint="default"/>
              </w:rPr>
            </w:pPr>
            <w:r>
              <w:rPr>
                <w:rFonts w:hint="default"/>
              </w:rPr>
              <w:t>掌握本</w:t>
            </w:r>
            <w:r>
              <w:rPr>
                <w:rFonts w:hint="eastAsia"/>
                <w:lang w:eastAsia="zh-CN"/>
              </w:rPr>
              <w:t>厂</w:t>
            </w:r>
            <w:r>
              <w:rPr>
                <w:rFonts w:hint="default"/>
              </w:rPr>
              <w:t>环境风险源及潜在环境突发事件的基本情况</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2376" w:type="dxa"/>
            <w:tcBorders>
              <w:tl2br w:val="nil"/>
              <w:tr2bl w:val="nil"/>
            </w:tcBorders>
            <w:vAlign w:val="center"/>
          </w:tcPr>
          <w:p>
            <w:pPr>
              <w:pStyle w:val="18"/>
              <w:rPr>
                <w:rFonts w:hint="default"/>
              </w:rPr>
            </w:pPr>
            <w:r>
              <w:rPr>
                <w:rFonts w:hint="default"/>
              </w:rPr>
              <w:t>善后处置组</w:t>
            </w:r>
          </w:p>
        </w:tc>
        <w:tc>
          <w:tcPr>
            <w:tcW w:w="5958" w:type="dxa"/>
            <w:tcBorders>
              <w:tl2br w:val="nil"/>
              <w:tr2bl w:val="nil"/>
            </w:tcBorders>
            <w:vAlign w:val="center"/>
          </w:tcPr>
          <w:p>
            <w:pPr>
              <w:pStyle w:val="18"/>
              <w:rPr>
                <w:rFonts w:hint="default"/>
              </w:rPr>
            </w:pPr>
            <w:r>
              <w:rPr>
                <w:rFonts w:hint="default"/>
              </w:rPr>
              <w:t>做好环境风险敏感目标的基本情况调查</w:t>
            </w:r>
          </w:p>
        </w:tc>
      </w:tr>
    </w:tbl>
    <w:p>
      <w:pPr>
        <w:pStyle w:val="20"/>
        <w:rPr>
          <w:rFonts w:hint="default"/>
        </w:rPr>
      </w:pPr>
      <w:bookmarkStart w:id="264" w:name="_Toc2476_WPSOffice_Level1"/>
      <w:bookmarkStart w:id="265" w:name="_Toc1568"/>
      <w:bookmarkStart w:id="266" w:name="_Toc391641313"/>
      <w:bookmarkStart w:id="267" w:name="_Toc393795018"/>
      <w:bookmarkStart w:id="268" w:name="_Toc19438"/>
      <w:bookmarkStart w:id="269" w:name="_Toc381967665"/>
      <w:bookmarkStart w:id="270" w:name="_Toc11313"/>
      <w:bookmarkStart w:id="271" w:name="_Toc386028165"/>
      <w:bookmarkStart w:id="272" w:name="_Toc382218123"/>
      <w:r>
        <w:rPr>
          <w:rFonts w:hint="eastAsia"/>
          <w:lang w:val="en-US" w:eastAsia="zh-CN"/>
        </w:rPr>
        <w:t>5.2</w:t>
      </w:r>
      <w:r>
        <w:rPr>
          <w:rFonts w:hint="default"/>
          <w:lang w:val="en-US" w:eastAsia="zh-CN"/>
        </w:rPr>
        <w:t>环境风险源</w:t>
      </w:r>
      <w:r>
        <w:rPr>
          <w:rFonts w:hint="default"/>
        </w:rPr>
        <w:t>源监控管理</w:t>
      </w:r>
      <w:bookmarkEnd w:id="264"/>
      <w:bookmarkEnd w:id="265"/>
      <w:bookmarkEnd w:id="266"/>
      <w:bookmarkEnd w:id="267"/>
      <w:bookmarkEnd w:id="268"/>
      <w:bookmarkEnd w:id="269"/>
      <w:bookmarkEnd w:id="270"/>
      <w:bookmarkEnd w:id="271"/>
      <w:bookmarkEnd w:id="272"/>
      <w:r>
        <w:rPr>
          <w:rFonts w:hint="default"/>
        </w:rPr>
        <w:t xml:space="preserve"> </w:t>
      </w:r>
    </w:p>
    <w:p>
      <w:pPr>
        <w:pStyle w:val="14"/>
        <w:rPr>
          <w:rFonts w:hint="default"/>
        </w:rPr>
      </w:pPr>
      <w:r>
        <w:rPr>
          <w:rFonts w:hint="default"/>
          <w:lang w:eastAsia="zh-CN"/>
        </w:rPr>
        <w:t>污水</w:t>
      </w:r>
      <w:r>
        <w:rPr>
          <w:rFonts w:hint="eastAsia"/>
          <w:lang w:eastAsia="zh-CN"/>
        </w:rPr>
        <w:t>处理</w:t>
      </w:r>
      <w:r>
        <w:rPr>
          <w:rFonts w:hint="default"/>
          <w:lang w:eastAsia="zh-CN"/>
        </w:rPr>
        <w:t>厂各部门应加强对各种可能发生的突发环境事故的监控和预测分析，应急指挥中心建立预防预报系统，做到早发现、早报告、早处置，污水厂环境风险源预防与监控措施配置情况详见</w:t>
      </w:r>
      <w:r>
        <w:rPr>
          <w:rFonts w:hint="default"/>
          <w:lang w:val="en-US" w:eastAsia="zh-CN"/>
        </w:rPr>
        <w:t>下</w:t>
      </w:r>
      <w:r>
        <w:rPr>
          <w:rFonts w:hint="default"/>
          <w:lang w:eastAsia="zh-CN"/>
        </w:rPr>
        <w:t>表</w:t>
      </w:r>
      <w:r>
        <w:rPr>
          <w:rFonts w:hint="default"/>
        </w:rPr>
        <w:t>。</w:t>
      </w:r>
    </w:p>
    <w:p>
      <w:pPr>
        <w:pStyle w:val="16"/>
        <w:rPr>
          <w:rFonts w:hint="default"/>
        </w:rPr>
      </w:pPr>
      <w:r>
        <w:rPr>
          <w:rFonts w:hint="default"/>
        </w:rPr>
        <w:t>表</w:t>
      </w:r>
      <w:r>
        <w:rPr>
          <w:rFonts w:hint="eastAsia"/>
          <w:lang w:val="en-US" w:eastAsia="zh-CN"/>
        </w:rPr>
        <w:t>5</w:t>
      </w:r>
      <w:r>
        <w:rPr>
          <w:rFonts w:hint="default"/>
        </w:rPr>
        <w:t xml:space="preserve">.2-1   </w:t>
      </w:r>
      <w:r>
        <w:rPr>
          <w:rFonts w:hint="eastAsia"/>
          <w:lang w:eastAsia="zh-CN"/>
        </w:rPr>
        <w:t>污水处理厂</w:t>
      </w:r>
      <w:r>
        <w:rPr>
          <w:rFonts w:hint="default"/>
        </w:rPr>
        <w:t>环境风险源预防与监控措施一览表</w:t>
      </w:r>
    </w:p>
    <w:tbl>
      <w:tblPr>
        <w:tblStyle w:val="11"/>
        <w:tblW w:w="833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3707"/>
        <w:gridCol w:w="320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20" w:type="dxa"/>
            <w:tcBorders>
              <w:tl2br w:val="nil"/>
              <w:tr2bl w:val="nil"/>
            </w:tcBorders>
            <w:vAlign w:val="center"/>
          </w:tcPr>
          <w:p>
            <w:pPr>
              <w:pStyle w:val="18"/>
              <w:rPr>
                <w:rFonts w:hint="default"/>
              </w:rPr>
            </w:pPr>
            <w:r>
              <w:rPr>
                <w:rFonts w:hint="default"/>
              </w:rPr>
              <w:t>风险源名称</w:t>
            </w:r>
          </w:p>
        </w:tc>
        <w:tc>
          <w:tcPr>
            <w:tcW w:w="3707" w:type="dxa"/>
            <w:tcBorders>
              <w:tl2br w:val="nil"/>
              <w:tr2bl w:val="nil"/>
            </w:tcBorders>
            <w:vAlign w:val="center"/>
          </w:tcPr>
          <w:p>
            <w:pPr>
              <w:pStyle w:val="18"/>
              <w:rPr>
                <w:rFonts w:hint="default"/>
              </w:rPr>
            </w:pPr>
            <w:r>
              <w:rPr>
                <w:rFonts w:hint="default"/>
              </w:rPr>
              <w:t>预防措施</w:t>
            </w:r>
          </w:p>
        </w:tc>
        <w:tc>
          <w:tcPr>
            <w:tcW w:w="3207" w:type="dxa"/>
            <w:tcBorders>
              <w:tl2br w:val="nil"/>
              <w:tr2bl w:val="nil"/>
            </w:tcBorders>
            <w:vAlign w:val="center"/>
          </w:tcPr>
          <w:p>
            <w:pPr>
              <w:pStyle w:val="18"/>
              <w:rPr>
                <w:rFonts w:hint="default"/>
              </w:rPr>
            </w:pPr>
            <w:r>
              <w:rPr>
                <w:rFonts w:hint="default"/>
              </w:rPr>
              <w:t>监控措施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20" w:type="dxa"/>
            <w:tcBorders>
              <w:tl2br w:val="nil"/>
              <w:tr2bl w:val="nil"/>
            </w:tcBorders>
            <w:vAlign w:val="center"/>
          </w:tcPr>
          <w:p>
            <w:pPr>
              <w:pStyle w:val="18"/>
              <w:rPr>
                <w:rFonts w:hint="default"/>
                <w:lang w:val="en-US" w:eastAsia="zh-CN"/>
              </w:rPr>
            </w:pPr>
            <w:r>
              <w:rPr>
                <w:rFonts w:hint="default"/>
                <w:lang w:val="en-US" w:eastAsia="zh-CN"/>
              </w:rPr>
              <w:t>机修仓库</w:t>
            </w:r>
          </w:p>
        </w:tc>
        <w:tc>
          <w:tcPr>
            <w:tcW w:w="3707" w:type="dxa"/>
            <w:tcBorders>
              <w:tl2br w:val="nil"/>
              <w:tr2bl w:val="nil"/>
            </w:tcBorders>
            <w:vAlign w:val="center"/>
          </w:tcPr>
          <w:p>
            <w:pPr>
              <w:pStyle w:val="18"/>
              <w:rPr>
                <w:rFonts w:hint="default"/>
              </w:rPr>
            </w:pPr>
            <w:r>
              <w:rPr>
                <w:rFonts w:hint="default"/>
              </w:rPr>
              <w:t>①储存润滑油、废机油等油品，主要用 25kg</w:t>
            </w:r>
            <w:r>
              <w:rPr>
                <w:rFonts w:hint="eastAsia"/>
                <w:lang w:eastAsia="zh-CN"/>
              </w:rPr>
              <w:t>塑料桶</w:t>
            </w:r>
            <w:r>
              <w:rPr>
                <w:rFonts w:hint="default"/>
              </w:rPr>
              <w:t>储存。</w:t>
            </w:r>
          </w:p>
        </w:tc>
        <w:tc>
          <w:tcPr>
            <w:tcW w:w="3207" w:type="dxa"/>
            <w:tcBorders>
              <w:tl2br w:val="nil"/>
              <w:tr2bl w:val="nil"/>
            </w:tcBorders>
            <w:vAlign w:val="center"/>
          </w:tcPr>
          <w:p>
            <w:pPr>
              <w:pStyle w:val="18"/>
              <w:rPr>
                <w:rFonts w:hint="default"/>
              </w:rPr>
            </w:pPr>
            <w:r>
              <w:rPr>
                <w:rFonts w:hint="default"/>
              </w:rPr>
              <w:t>每天安排专职人员进行检查并作好相关记录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20" w:type="dxa"/>
            <w:tcBorders>
              <w:tl2br w:val="nil"/>
              <w:tr2bl w:val="nil"/>
            </w:tcBorders>
            <w:vAlign w:val="center"/>
          </w:tcPr>
          <w:p>
            <w:pPr>
              <w:pStyle w:val="18"/>
              <w:rPr>
                <w:rFonts w:hint="default"/>
                <w:lang w:val="en-US" w:eastAsia="zh-CN"/>
              </w:rPr>
            </w:pPr>
            <w:r>
              <w:rPr>
                <w:rFonts w:hint="default"/>
                <w:lang w:val="en-US" w:eastAsia="zh-CN"/>
              </w:rPr>
              <w:t>加药间</w:t>
            </w:r>
          </w:p>
        </w:tc>
        <w:tc>
          <w:tcPr>
            <w:tcW w:w="3707" w:type="dxa"/>
            <w:tcBorders>
              <w:tl2br w:val="nil"/>
              <w:tr2bl w:val="nil"/>
            </w:tcBorders>
            <w:vAlign w:val="center"/>
          </w:tcPr>
          <w:p>
            <w:pPr>
              <w:pStyle w:val="18"/>
              <w:rPr>
                <w:rFonts w:hint="default"/>
              </w:rPr>
            </w:pPr>
            <w:r>
              <w:rPr>
                <w:rFonts w:hint="default"/>
              </w:rPr>
              <w:t>①PAM</w:t>
            </w:r>
            <w:r>
              <w:rPr>
                <w:rFonts w:hint="default"/>
                <w:lang w:val="en-US" w:eastAsia="zh-CN"/>
              </w:rPr>
              <w:t>加药间、桶装；</w:t>
            </w:r>
            <w:r>
              <w:rPr>
                <w:rFonts w:hint="default"/>
              </w:rPr>
              <w:t>②</w:t>
            </w:r>
            <w:r>
              <w:rPr>
                <w:rFonts w:hint="default"/>
                <w:lang w:val="en-US" w:eastAsia="zh-CN"/>
              </w:rPr>
              <w:t>PAC加药间、桶装</w:t>
            </w:r>
          </w:p>
        </w:tc>
        <w:tc>
          <w:tcPr>
            <w:tcW w:w="3207" w:type="dxa"/>
            <w:tcBorders>
              <w:tl2br w:val="nil"/>
              <w:tr2bl w:val="nil"/>
            </w:tcBorders>
            <w:vAlign w:val="center"/>
          </w:tcPr>
          <w:p>
            <w:pPr>
              <w:pStyle w:val="18"/>
              <w:rPr>
                <w:rFonts w:hint="default"/>
              </w:rPr>
            </w:pPr>
            <w:r>
              <w:rPr>
                <w:rFonts w:hint="default"/>
              </w:rPr>
              <w:t>每天安排专职人员进行检查并作好相关记录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20" w:type="dxa"/>
            <w:tcBorders>
              <w:tl2br w:val="nil"/>
              <w:tr2bl w:val="nil"/>
            </w:tcBorders>
            <w:vAlign w:val="center"/>
          </w:tcPr>
          <w:p>
            <w:pPr>
              <w:pStyle w:val="18"/>
              <w:rPr>
                <w:rFonts w:hint="default"/>
              </w:rPr>
            </w:pPr>
            <w:r>
              <w:rPr>
                <w:rFonts w:hint="eastAsia"/>
                <w:lang w:eastAsia="zh-CN"/>
              </w:rPr>
              <w:t>园区</w:t>
            </w:r>
            <w:r>
              <w:rPr>
                <w:rFonts w:hint="default"/>
              </w:rPr>
              <w:t>污水</w:t>
            </w:r>
          </w:p>
        </w:tc>
        <w:tc>
          <w:tcPr>
            <w:tcW w:w="3707" w:type="dxa"/>
            <w:tcBorders>
              <w:tl2br w:val="nil"/>
              <w:tr2bl w:val="nil"/>
            </w:tcBorders>
            <w:vAlign w:val="center"/>
          </w:tcPr>
          <w:p>
            <w:pPr>
              <w:pStyle w:val="18"/>
              <w:rPr>
                <w:rFonts w:hint="default"/>
              </w:rPr>
            </w:pPr>
            <w:r>
              <w:rPr>
                <w:rFonts w:hint="default"/>
              </w:rPr>
              <w:t>①设置了专人负责污水处理设施、设备的维修与保养工作，严格按照操作规程进行维修和保养；</w:t>
            </w:r>
          </w:p>
          <w:p>
            <w:pPr>
              <w:pStyle w:val="18"/>
              <w:rPr>
                <w:rFonts w:hint="default"/>
              </w:rPr>
            </w:pPr>
            <w:r>
              <w:rPr>
                <w:rFonts w:hint="default"/>
              </w:rPr>
              <w:t>②制定严格的污水处理工艺操作规程，严格按操作规程进行运行控制；</w:t>
            </w:r>
          </w:p>
          <w:p>
            <w:pPr>
              <w:pStyle w:val="18"/>
              <w:rPr>
                <w:rFonts w:hint="default"/>
              </w:rPr>
            </w:pPr>
            <w:r>
              <w:rPr>
                <w:rFonts w:hint="default"/>
              </w:rPr>
              <w:t>③进、出水口设置了在线监测装置，</w:t>
            </w:r>
            <w:r>
              <w:rPr>
                <w:rFonts w:hint="eastAsia"/>
                <w:lang w:val="en-US" w:eastAsia="zh-CN"/>
              </w:rPr>
              <w:t>赣州经开区</w:t>
            </w:r>
            <w:r>
              <w:rPr>
                <w:rFonts w:hint="default"/>
                <w:lang w:val="en-US" w:eastAsia="zh-CN"/>
              </w:rPr>
              <w:t>污水处理厂</w:t>
            </w:r>
            <w:r>
              <w:rPr>
                <w:rFonts w:hint="default"/>
              </w:rPr>
              <w:t>每天对进水取样监测；</w:t>
            </w:r>
          </w:p>
          <w:p>
            <w:pPr>
              <w:pStyle w:val="18"/>
              <w:rPr>
                <w:rFonts w:hint="default"/>
              </w:rPr>
            </w:pPr>
            <w:r>
              <w:rPr>
                <w:rFonts w:hint="default"/>
              </w:rPr>
              <w:t>④一旦出现污水超标排放，立即向</w:t>
            </w:r>
            <w:r>
              <w:rPr>
                <w:rFonts w:hint="eastAsia"/>
                <w:lang w:val="en-US" w:eastAsia="zh-CN"/>
              </w:rPr>
              <w:t>赣州市经开区</w:t>
            </w:r>
            <w:r>
              <w:rPr>
                <w:rFonts w:hint="default"/>
              </w:rPr>
              <w:t>环境保护局等单位汇报，同时采取应急等措施，防止事故的扩大化。</w:t>
            </w:r>
          </w:p>
        </w:tc>
        <w:tc>
          <w:tcPr>
            <w:tcW w:w="3207" w:type="dxa"/>
            <w:tcBorders>
              <w:tl2br w:val="nil"/>
              <w:tr2bl w:val="nil"/>
            </w:tcBorders>
            <w:vAlign w:val="center"/>
          </w:tcPr>
          <w:p>
            <w:pPr>
              <w:pStyle w:val="18"/>
              <w:rPr>
                <w:rFonts w:hint="default"/>
              </w:rPr>
            </w:pPr>
            <w:r>
              <w:rPr>
                <w:rFonts w:hint="default"/>
              </w:rPr>
              <w:t>按照自动在线监测设备，准确及时上报出水水质情况；专人负责进行监管，采用人工巡检和在线监控两种方式进行监控，雨季加强巡检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20" w:type="dxa"/>
            <w:tcBorders>
              <w:tl2br w:val="nil"/>
              <w:tr2bl w:val="nil"/>
            </w:tcBorders>
            <w:vAlign w:val="center"/>
          </w:tcPr>
          <w:p>
            <w:pPr>
              <w:pStyle w:val="18"/>
              <w:rPr>
                <w:rFonts w:hint="default"/>
              </w:rPr>
            </w:pPr>
            <w:r>
              <w:rPr>
                <w:rFonts w:hint="default"/>
              </w:rPr>
              <w:t>臭气处理设</w:t>
            </w:r>
          </w:p>
          <w:p>
            <w:pPr>
              <w:pStyle w:val="18"/>
              <w:rPr>
                <w:rFonts w:hint="default"/>
              </w:rPr>
            </w:pPr>
            <w:r>
              <w:rPr>
                <w:rFonts w:hint="default"/>
              </w:rPr>
              <w:t>施</w:t>
            </w:r>
          </w:p>
        </w:tc>
        <w:tc>
          <w:tcPr>
            <w:tcW w:w="3707" w:type="dxa"/>
            <w:tcBorders>
              <w:tl2br w:val="nil"/>
              <w:tr2bl w:val="nil"/>
            </w:tcBorders>
            <w:vAlign w:val="center"/>
          </w:tcPr>
          <w:p>
            <w:pPr>
              <w:pStyle w:val="18"/>
              <w:rPr>
                <w:rFonts w:hint="default"/>
              </w:rPr>
            </w:pPr>
            <w:r>
              <w:rPr>
                <w:rFonts w:hint="default"/>
              </w:rPr>
              <w:t>定期巡视，排除风险隐患</w:t>
            </w:r>
          </w:p>
        </w:tc>
        <w:tc>
          <w:tcPr>
            <w:tcW w:w="3207" w:type="dxa"/>
            <w:tcBorders>
              <w:tl2br w:val="nil"/>
              <w:tr2bl w:val="nil"/>
            </w:tcBorders>
            <w:vAlign w:val="center"/>
          </w:tcPr>
          <w:p>
            <w:pPr>
              <w:pStyle w:val="18"/>
              <w:rPr>
                <w:rFonts w:hint="default"/>
              </w:rPr>
            </w:pPr>
            <w:r>
              <w:rPr>
                <w:rFonts w:hint="default"/>
              </w:rPr>
              <w:t>定期巡视，排除风险隐患</w:t>
            </w:r>
          </w:p>
        </w:tc>
      </w:tr>
    </w:tbl>
    <w:p>
      <w:pPr>
        <w:pStyle w:val="20"/>
        <w:rPr>
          <w:rFonts w:hint="eastAsia"/>
          <w:lang w:eastAsia="zh-CN"/>
        </w:rPr>
      </w:pPr>
      <w:bookmarkStart w:id="273" w:name="_Toc393795019"/>
      <w:bookmarkStart w:id="274" w:name="_Toc11530"/>
      <w:bookmarkStart w:id="275" w:name="_Toc13349"/>
      <w:bookmarkStart w:id="276" w:name="_Toc7086"/>
      <w:bookmarkStart w:id="277" w:name="_Toc18821_WPSOffice_Level1"/>
      <w:r>
        <w:rPr>
          <w:rFonts w:hint="eastAsia"/>
          <w:lang w:val="en-US" w:eastAsia="zh-CN"/>
        </w:rPr>
        <w:t>5.3</w:t>
      </w:r>
      <w:r>
        <w:rPr>
          <w:rFonts w:hint="default"/>
        </w:rPr>
        <w:t>预警</w:t>
      </w:r>
      <w:bookmarkEnd w:id="273"/>
      <w:bookmarkEnd w:id="274"/>
      <w:bookmarkEnd w:id="275"/>
      <w:bookmarkEnd w:id="276"/>
      <w:r>
        <w:rPr>
          <w:rFonts w:hint="eastAsia"/>
          <w:lang w:eastAsia="zh-CN"/>
        </w:rPr>
        <w:t>行动</w:t>
      </w:r>
      <w:bookmarkEnd w:id="277"/>
    </w:p>
    <w:p>
      <w:pPr>
        <w:pStyle w:val="14"/>
        <w:rPr>
          <w:rFonts w:hint="eastAsia"/>
          <w:lang w:eastAsia="zh-CN"/>
        </w:rPr>
      </w:pPr>
      <w:r>
        <w:rPr>
          <w:rFonts w:hint="eastAsia"/>
          <w:lang w:eastAsia="zh-CN"/>
        </w:rPr>
        <w:t>污水处理厂建立突发事件预警报告体系，全体员工应当加强各自范围内的危险源的监控，通过在线监测、巡查等手段获取风险信息，对可能发生安全生产事故和存在安全隐患的重要信息要及时汇报。对所取得的外部信息（气象、公共卫生、环境监测等）要及时公布。内部信息按照“个人、班组、部门、应急管理办公室”流程，遇有特殊紧急情况时（危及人身安全或存在可能引起机组停役风险）可越级汇报。</w:t>
      </w:r>
    </w:p>
    <w:p>
      <w:pPr>
        <w:pStyle w:val="14"/>
        <w:rPr>
          <w:rFonts w:hint="eastAsia"/>
          <w:lang w:eastAsia="zh-CN"/>
        </w:rPr>
      </w:pPr>
      <w:r>
        <w:rPr>
          <w:rFonts w:hint="eastAsia"/>
          <w:lang w:eastAsia="zh-CN"/>
        </w:rPr>
        <w:t>在取得预警信息后，污水处理厂应立即成立应急指挥部，指挥部通过正确的分析判断，及时通过手机短信或电话等方式发布预警信息。对于可能发生或已经发生的突发环境污染事件，现场指挥部人员要在立即采取措施控制事态的同时，按紧急信息报送的有关程序规定，在第一时间如实报告</w:t>
      </w:r>
      <w:r>
        <w:rPr>
          <w:rFonts w:hint="eastAsia"/>
          <w:lang w:val="en-US" w:eastAsia="zh-CN"/>
        </w:rPr>
        <w:t>赣州市经开区</w:t>
      </w:r>
      <w:r>
        <w:rPr>
          <w:rFonts w:hint="eastAsia"/>
          <w:lang w:eastAsia="zh-CN"/>
        </w:rPr>
        <w:t>环保局和赣州市环保局，不得迟报、漏报、瞒报和谎报。预警信息发布后，各部门需根据相应事件种类，落实各自职责区域内的管理责任，包括执行各类应急先期安全技术措施、组织应急人员、应急物资到位等。</w:t>
      </w:r>
    </w:p>
    <w:p>
      <w:pPr>
        <w:pStyle w:val="14"/>
        <w:rPr>
          <w:rFonts w:hint="eastAsia"/>
          <w:lang w:eastAsia="zh-CN"/>
        </w:rPr>
      </w:pPr>
      <w:r>
        <w:rPr>
          <w:rFonts w:hint="eastAsia"/>
          <w:lang w:eastAsia="zh-CN"/>
        </w:rPr>
        <w:t>根据事件进展情况，在确认不会产生危害的情况下，由污水处理厂应急管理办公室通知预警解除</w:t>
      </w:r>
    </w:p>
    <w:p>
      <w:pPr>
        <w:pStyle w:val="21"/>
        <w:rPr>
          <w:rFonts w:hint="default"/>
        </w:rPr>
      </w:pPr>
      <w:bookmarkStart w:id="278" w:name="_Toc1610_WPSOffice_Level2"/>
      <w:bookmarkStart w:id="279" w:name="_Toc32218_WPSOffice_Level2"/>
      <w:bookmarkStart w:id="280" w:name="_Toc22429"/>
      <w:bookmarkStart w:id="281" w:name="_Toc18268"/>
      <w:bookmarkStart w:id="282" w:name="_Toc3004"/>
      <w:r>
        <w:rPr>
          <w:rFonts w:hint="eastAsia"/>
          <w:lang w:val="en-US" w:eastAsia="zh-CN"/>
        </w:rPr>
        <w:t>5.3.1</w:t>
      </w:r>
      <w:r>
        <w:rPr>
          <w:rFonts w:hint="default"/>
        </w:rPr>
        <w:t>预警分级</w:t>
      </w:r>
      <w:bookmarkEnd w:id="278"/>
      <w:bookmarkEnd w:id="279"/>
      <w:bookmarkEnd w:id="280"/>
      <w:bookmarkEnd w:id="281"/>
      <w:bookmarkEnd w:id="282"/>
    </w:p>
    <w:p>
      <w:pPr>
        <w:pStyle w:val="21"/>
        <w:rPr>
          <w:rFonts w:hint="default"/>
        </w:rPr>
      </w:pPr>
      <w:bookmarkStart w:id="283" w:name="_Toc250"/>
      <w:bookmarkStart w:id="284" w:name="_Toc27090_WPSOffice_Level2"/>
      <w:bookmarkStart w:id="285" w:name="_Toc5008"/>
      <w:bookmarkStart w:id="286" w:name="_Toc25061"/>
      <w:bookmarkStart w:id="287" w:name="_Toc2788_WPSOffice_Level2"/>
      <w:r>
        <w:rPr>
          <w:rFonts w:hint="eastAsia"/>
          <w:lang w:val="en-US" w:eastAsia="zh-CN"/>
        </w:rPr>
        <w:t>5.3.2</w:t>
      </w:r>
      <w:r>
        <w:rPr>
          <w:rFonts w:hint="default"/>
        </w:rPr>
        <w:t>预警发布流程</w:t>
      </w:r>
      <w:bookmarkEnd w:id="283"/>
      <w:bookmarkEnd w:id="284"/>
      <w:bookmarkEnd w:id="285"/>
      <w:bookmarkEnd w:id="286"/>
      <w:bookmarkEnd w:id="287"/>
    </w:p>
    <w:p>
      <w:pPr>
        <w:pStyle w:val="14"/>
        <w:rPr>
          <w:rFonts w:hint="default" w:ascii="Times New Roman" w:hAnsi="Times New Roman" w:cs="Times New Roman"/>
          <w:color w:val="auto"/>
          <w:highlight w:val="none"/>
          <w:u w:val="none"/>
        </w:rPr>
      </w:pPr>
      <w:r>
        <w:rPr>
          <w:rFonts w:hint="default"/>
        </w:rPr>
        <w:t>突发环境事件发现第一人或突发环境事件应急指挥部按照图</w:t>
      </w:r>
      <w:r>
        <w:rPr>
          <w:rFonts w:hint="default"/>
          <w:lang w:val="en-US" w:eastAsia="zh-CN"/>
        </w:rPr>
        <w:t>6</w:t>
      </w:r>
      <w:r>
        <w:rPr>
          <w:rFonts w:hint="default"/>
        </w:rPr>
        <w:t>.3-1的流程通知相关部门或专业团队进入预警状态。</w:t>
      </w:r>
    </w:p>
    <w:p>
      <w:pPr>
        <w:ind w:firstLine="480"/>
        <w:jc w:val="center"/>
        <w:rPr>
          <w:rFonts w:hint="default" w:ascii="Times New Roman" w:hAnsi="Times New Roman" w:cs="Times New Roman"/>
          <w:color w:val="auto"/>
          <w:highlight w:val="none"/>
          <w:u w:val="none"/>
        </w:rPr>
      </w:pPr>
    </w:p>
    <w:p>
      <w:pPr>
        <w:ind w:firstLine="480"/>
        <w:jc w:val="center"/>
        <w:rPr>
          <w:rFonts w:hint="default" w:ascii="Times New Roman" w:hAnsi="Times New Roman" w:cs="Times New Roman"/>
          <w:color w:val="auto"/>
          <w:highlight w:val="none"/>
          <w:u w:val="none"/>
        </w:rPr>
      </w:pPr>
    </w:p>
    <w:p>
      <w:pPr>
        <w:ind w:left="0" w:leftChars="0" w:firstLine="0" w:firstLineChars="0"/>
        <w:jc w:val="center"/>
        <w:rPr>
          <w:rFonts w:hint="default" w:ascii="Times New Roman" w:hAnsi="Times New Roman" w:cs="Times New Roman"/>
          <w:b/>
          <w:color w:val="auto"/>
          <w:sz w:val="21"/>
          <w:szCs w:val="21"/>
          <w:highlight w:val="none"/>
          <w:u w:val="none"/>
        </w:rPr>
      </w:pPr>
      <w:r>
        <w:rPr>
          <w:rFonts w:hint="default" w:ascii="Times New Roman" w:hAnsi="Times New Roman" w:cs="Times New Roman"/>
          <w:b/>
          <w:color w:val="auto"/>
          <w:sz w:val="21"/>
          <w:szCs w:val="21"/>
          <w:highlight w:val="none"/>
          <w:u w:val="none"/>
        </w:rPr>
        <w:object>
          <v:shape id="_x0000_i1029" o:spt="75" type="#_x0000_t75" style="height:278.25pt;width:209.25pt;" o:ole="t" filled="f" o:preferrelative="t" stroked="f" coordsize="21600,21600">
            <v:path/>
            <v:fill on="f" focussize="0,0"/>
            <v:stroke on="f"/>
            <v:imagedata r:id="rId19" o:title=""/>
            <o:lock v:ext="edit" aspectratio="f"/>
            <w10:wrap type="none"/>
            <w10:anchorlock/>
          </v:shape>
          <o:OLEObject Type="Embed" ProgID="Visio.Drawing.11" ShapeID="_x0000_i1029" DrawAspect="Content" ObjectID="_1468075729" r:id="rId18">
            <o:LockedField>false</o:LockedField>
          </o:OLEObject>
        </w:object>
      </w:r>
    </w:p>
    <w:p>
      <w:pPr>
        <w:pStyle w:val="23"/>
        <w:rPr>
          <w:rFonts w:hint="default"/>
        </w:rPr>
      </w:pPr>
      <w:r>
        <w:rPr>
          <w:rFonts w:hint="default"/>
        </w:rPr>
        <w:t>图</w:t>
      </w:r>
      <w:r>
        <w:rPr>
          <w:rFonts w:hint="eastAsia"/>
          <w:lang w:val="en-US" w:eastAsia="zh-CN"/>
        </w:rPr>
        <w:t>5</w:t>
      </w:r>
      <w:r>
        <w:rPr>
          <w:rFonts w:hint="default"/>
        </w:rPr>
        <w:t xml:space="preserve">.3-1  </w:t>
      </w:r>
      <w:r>
        <w:rPr>
          <w:rFonts w:hint="eastAsia"/>
          <w:lang w:eastAsia="zh-CN"/>
        </w:rPr>
        <w:t>污水处理厂</w:t>
      </w:r>
      <w:r>
        <w:rPr>
          <w:rFonts w:hint="default"/>
        </w:rPr>
        <w:t>预警发布流程图</w:t>
      </w:r>
    </w:p>
    <w:p>
      <w:pPr>
        <w:pStyle w:val="21"/>
        <w:rPr>
          <w:rFonts w:hint="default"/>
        </w:rPr>
      </w:pPr>
      <w:bookmarkStart w:id="288" w:name="_Toc31098"/>
      <w:bookmarkStart w:id="289" w:name="_Toc13434_WPSOffice_Level2"/>
      <w:bookmarkStart w:id="290" w:name="_Toc11901"/>
      <w:bookmarkStart w:id="291" w:name="_Toc13466"/>
      <w:bookmarkStart w:id="292" w:name="_Toc748_WPSOffice_Level2"/>
      <w:r>
        <w:rPr>
          <w:rFonts w:hint="eastAsia"/>
          <w:lang w:val="en-US" w:eastAsia="zh-CN"/>
        </w:rPr>
        <w:t>5.3.3</w:t>
      </w:r>
      <w:r>
        <w:rPr>
          <w:rFonts w:hint="default"/>
        </w:rPr>
        <w:t>预警发布方式</w:t>
      </w:r>
      <w:bookmarkEnd w:id="288"/>
      <w:bookmarkEnd w:id="289"/>
      <w:bookmarkEnd w:id="290"/>
      <w:bookmarkEnd w:id="291"/>
      <w:bookmarkEnd w:id="292"/>
    </w:p>
    <w:p>
      <w:pPr>
        <w:pStyle w:val="14"/>
        <w:rPr>
          <w:rFonts w:hint="default"/>
        </w:rPr>
      </w:pPr>
      <w:r>
        <w:rPr>
          <w:rFonts w:hint="default"/>
        </w:rPr>
        <w:t>突发环境事件报警方式：电话、</w:t>
      </w:r>
      <w:r>
        <w:rPr>
          <w:rFonts w:hint="default"/>
          <w:lang w:val="zh-CN"/>
        </w:rPr>
        <w:t>自动报警装置、人工报警、</w:t>
      </w:r>
      <w:r>
        <w:rPr>
          <w:rFonts w:hint="default"/>
        </w:rPr>
        <w:t>对讲机等</w:t>
      </w:r>
    </w:p>
    <w:p>
      <w:pPr>
        <w:pStyle w:val="14"/>
        <w:rPr>
          <w:rFonts w:hint="default"/>
        </w:rPr>
      </w:pPr>
      <w:r>
        <w:rPr>
          <w:rFonts w:hint="default"/>
        </w:rPr>
        <w:t>预警发布方式：可通过生产调度电话、广播系统、内部QQ网络、对讲机、电信短信等形式，发布人员见下表。</w:t>
      </w:r>
    </w:p>
    <w:p>
      <w:pPr>
        <w:pStyle w:val="16"/>
        <w:rPr>
          <w:rFonts w:hint="default"/>
        </w:rPr>
      </w:pPr>
      <w:r>
        <w:rPr>
          <w:rFonts w:hint="default"/>
        </w:rPr>
        <w:t>表</w:t>
      </w:r>
      <w:r>
        <w:rPr>
          <w:rFonts w:hint="eastAsia"/>
          <w:lang w:val="en-US" w:eastAsia="zh-CN"/>
        </w:rPr>
        <w:t>5</w:t>
      </w:r>
      <w:r>
        <w:rPr>
          <w:rFonts w:hint="default"/>
        </w:rPr>
        <w:t xml:space="preserve">.3-2  </w:t>
      </w:r>
      <w:r>
        <w:rPr>
          <w:rFonts w:hint="eastAsia"/>
          <w:lang w:eastAsia="zh-CN"/>
        </w:rPr>
        <w:t>污水处理厂</w:t>
      </w:r>
      <w:r>
        <w:rPr>
          <w:rFonts w:hint="default"/>
        </w:rPr>
        <w:t>预警发布人员一览表</w:t>
      </w:r>
    </w:p>
    <w:tbl>
      <w:tblPr>
        <w:tblStyle w:val="10"/>
        <w:tblW w:w="833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726"/>
        <w:gridCol w:w="4608"/>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3726" w:type="dxa"/>
            <w:tcBorders>
              <w:tl2br w:val="nil"/>
              <w:tr2bl w:val="nil"/>
            </w:tcBorders>
            <w:vAlign w:val="center"/>
          </w:tcPr>
          <w:p>
            <w:pPr>
              <w:spacing w:line="240" w:lineRule="auto"/>
              <w:ind w:firstLine="420"/>
              <w:jc w:val="center"/>
              <w:rPr>
                <w:rFonts w:hint="default" w:ascii="Times New Roman" w:hAnsi="Times New Roman" w:cs="Times New Roman"/>
                <w:bCs/>
                <w:color w:val="auto"/>
                <w:sz w:val="21"/>
                <w:szCs w:val="21"/>
                <w:highlight w:val="none"/>
                <w:u w:val="none"/>
              </w:rPr>
            </w:pPr>
            <w:r>
              <w:rPr>
                <w:rFonts w:hint="default" w:ascii="Times New Roman" w:hAnsi="Times New Roman" w:cs="Times New Roman"/>
                <w:bCs/>
                <w:color w:val="auto"/>
                <w:sz w:val="21"/>
                <w:szCs w:val="21"/>
                <w:highlight w:val="none"/>
                <w:u w:val="none"/>
              </w:rPr>
              <w:t>预警级别</w:t>
            </w:r>
          </w:p>
        </w:tc>
        <w:tc>
          <w:tcPr>
            <w:tcW w:w="4608" w:type="dxa"/>
            <w:tcBorders>
              <w:tl2br w:val="nil"/>
              <w:tr2bl w:val="nil"/>
            </w:tcBorders>
            <w:vAlign w:val="center"/>
          </w:tcPr>
          <w:p>
            <w:pPr>
              <w:spacing w:line="240" w:lineRule="auto"/>
              <w:ind w:firstLine="420"/>
              <w:jc w:val="center"/>
              <w:rPr>
                <w:rFonts w:hint="default" w:ascii="Times New Roman" w:hAnsi="Times New Roman" w:cs="Times New Roman"/>
                <w:bCs/>
                <w:color w:val="auto"/>
                <w:sz w:val="21"/>
                <w:szCs w:val="21"/>
                <w:highlight w:val="none"/>
                <w:u w:val="none"/>
              </w:rPr>
            </w:pPr>
            <w:r>
              <w:rPr>
                <w:rFonts w:hint="default" w:ascii="Times New Roman" w:hAnsi="Times New Roman" w:cs="Times New Roman"/>
                <w:bCs/>
                <w:color w:val="auto"/>
                <w:sz w:val="21"/>
                <w:szCs w:val="21"/>
                <w:highlight w:val="none"/>
                <w:u w:val="none"/>
              </w:rPr>
              <w:t>预警信息发布单位/人员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3726" w:type="dxa"/>
            <w:tcBorders>
              <w:tl2br w:val="nil"/>
              <w:tr2bl w:val="nil"/>
            </w:tcBorders>
            <w:vAlign w:val="center"/>
          </w:tcPr>
          <w:p>
            <w:pPr>
              <w:spacing w:line="240" w:lineRule="auto"/>
              <w:ind w:firstLine="420" w:firstLineChars="200"/>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一级</w:t>
            </w:r>
          </w:p>
        </w:tc>
        <w:tc>
          <w:tcPr>
            <w:tcW w:w="4608" w:type="dxa"/>
            <w:tcBorders>
              <w:tl2br w:val="nil"/>
              <w:tr2bl w:val="nil"/>
            </w:tcBorders>
            <w:vAlign w:val="center"/>
          </w:tcPr>
          <w:p>
            <w:pPr>
              <w:spacing w:line="240" w:lineRule="auto"/>
              <w:ind w:firstLine="420" w:firstLineChars="200"/>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应急指挥部/指挥长</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3726" w:type="dxa"/>
            <w:tcBorders>
              <w:tl2br w:val="nil"/>
              <w:tr2bl w:val="nil"/>
            </w:tcBorders>
            <w:vAlign w:val="center"/>
          </w:tcPr>
          <w:p>
            <w:pPr>
              <w:spacing w:line="240" w:lineRule="auto"/>
              <w:ind w:firstLine="420"/>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二级</w:t>
            </w:r>
          </w:p>
        </w:tc>
        <w:tc>
          <w:tcPr>
            <w:tcW w:w="4608" w:type="dxa"/>
            <w:tcBorders>
              <w:tl2br w:val="nil"/>
              <w:tr2bl w:val="nil"/>
            </w:tcBorders>
            <w:vAlign w:val="center"/>
          </w:tcPr>
          <w:p>
            <w:pPr>
              <w:spacing w:line="240" w:lineRule="auto"/>
              <w:ind w:firstLine="420"/>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应急指挥部/现场指挥长（厂长）</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3726" w:type="dxa"/>
            <w:tcBorders>
              <w:tl2br w:val="nil"/>
              <w:tr2bl w:val="nil"/>
            </w:tcBorders>
            <w:vAlign w:val="center"/>
          </w:tcPr>
          <w:p>
            <w:pPr>
              <w:spacing w:line="240" w:lineRule="auto"/>
              <w:ind w:firstLine="420"/>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三级</w:t>
            </w:r>
          </w:p>
        </w:tc>
        <w:tc>
          <w:tcPr>
            <w:tcW w:w="4608" w:type="dxa"/>
            <w:tcBorders>
              <w:tl2br w:val="nil"/>
              <w:tr2bl w:val="nil"/>
            </w:tcBorders>
            <w:vAlign w:val="center"/>
          </w:tcPr>
          <w:p>
            <w:pPr>
              <w:spacing w:line="240" w:lineRule="auto"/>
              <w:ind w:firstLine="420"/>
              <w:jc w:val="center"/>
              <w:rPr>
                <w:rFonts w:hint="eastAsia" w:ascii="Times New Roman" w:hAnsi="Times New Roman" w:eastAsia="宋体" w:cs="Times New Roman"/>
                <w:color w:val="auto"/>
                <w:sz w:val="21"/>
                <w:szCs w:val="21"/>
                <w:highlight w:val="none"/>
                <w:u w:val="none"/>
                <w:lang w:eastAsia="zh-CN"/>
              </w:rPr>
            </w:pPr>
            <w:r>
              <w:rPr>
                <w:rFonts w:hint="eastAsia" w:cs="Times New Roman"/>
                <w:color w:val="auto"/>
                <w:sz w:val="21"/>
                <w:szCs w:val="21"/>
                <w:highlight w:val="none"/>
                <w:u w:val="none"/>
                <w:lang w:eastAsia="zh-CN"/>
              </w:rPr>
              <w:t>应急指挥部副指挥</w:t>
            </w:r>
          </w:p>
        </w:tc>
      </w:tr>
    </w:tbl>
    <w:p>
      <w:pPr>
        <w:pStyle w:val="14"/>
        <w:rPr>
          <w:rFonts w:hint="default"/>
        </w:rPr>
      </w:pPr>
      <w:r>
        <w:rPr>
          <w:rFonts w:hint="default"/>
        </w:rPr>
        <w:t>进入预警状态后，采取以下措施：</w:t>
      </w:r>
    </w:p>
    <w:p>
      <w:pPr>
        <w:pStyle w:val="14"/>
        <w:rPr>
          <w:rFonts w:hint="default"/>
        </w:rPr>
      </w:pPr>
      <w:r>
        <w:rPr>
          <w:rFonts w:hint="default"/>
        </w:rPr>
        <w:t>（1）立即启动相关应急预案。</w:t>
      </w:r>
    </w:p>
    <w:p>
      <w:pPr>
        <w:pStyle w:val="14"/>
        <w:rPr>
          <w:rFonts w:hint="default"/>
        </w:rPr>
      </w:pPr>
      <w:r>
        <w:rPr>
          <w:rFonts w:hint="default"/>
        </w:rPr>
        <w:t>（2）发布预警公告，具体发布流程见图</w:t>
      </w:r>
      <w:r>
        <w:rPr>
          <w:rFonts w:hint="eastAsia"/>
          <w:lang w:val="en-US" w:eastAsia="zh-CN"/>
        </w:rPr>
        <w:t>5</w:t>
      </w:r>
      <w:r>
        <w:rPr>
          <w:rFonts w:hint="default"/>
        </w:rPr>
        <w:t>.3-1。</w:t>
      </w:r>
    </w:p>
    <w:p>
      <w:pPr>
        <w:pStyle w:val="14"/>
        <w:rPr>
          <w:rFonts w:hint="default"/>
        </w:rPr>
      </w:pPr>
      <w:r>
        <w:rPr>
          <w:rFonts w:hint="default"/>
        </w:rPr>
        <w:t>（3）转移、撤离或者疏散可能受到危害的人员，并妥善安置。</w:t>
      </w:r>
    </w:p>
    <w:p>
      <w:pPr>
        <w:pStyle w:val="14"/>
        <w:rPr>
          <w:rFonts w:hint="default"/>
        </w:rPr>
      </w:pPr>
      <w:r>
        <w:rPr>
          <w:rFonts w:hint="default"/>
        </w:rPr>
        <w:t>（</w:t>
      </w:r>
      <w:r>
        <w:rPr>
          <w:rFonts w:hint="default"/>
          <w:lang w:val="en-US" w:eastAsia="zh-CN"/>
        </w:rPr>
        <w:t>4</w:t>
      </w:r>
      <w:r>
        <w:rPr>
          <w:rFonts w:hint="default"/>
        </w:rPr>
        <w:t>）针对突发事件可能造成的危害，封闭、隔离或者限制使用有关场所，中止可能导致危害扩大的行为和活动。</w:t>
      </w:r>
    </w:p>
    <w:p>
      <w:pPr>
        <w:pStyle w:val="14"/>
        <w:rPr>
          <w:rFonts w:hint="default"/>
        </w:rPr>
      </w:pPr>
      <w:r>
        <w:rPr>
          <w:rFonts w:hint="default"/>
        </w:rPr>
        <w:t>（</w:t>
      </w:r>
      <w:r>
        <w:rPr>
          <w:rFonts w:hint="default"/>
          <w:lang w:val="en-US" w:eastAsia="zh-CN"/>
        </w:rPr>
        <w:t>5</w:t>
      </w:r>
      <w:r>
        <w:rPr>
          <w:rFonts w:hint="default"/>
        </w:rPr>
        <w:t>）调集环境应急所需物质和设备，确保应急保障工作。</w:t>
      </w:r>
    </w:p>
    <w:p>
      <w:pPr>
        <w:pStyle w:val="21"/>
        <w:rPr>
          <w:rFonts w:hint="default"/>
        </w:rPr>
      </w:pPr>
      <w:bookmarkStart w:id="293" w:name="_Toc29955"/>
      <w:bookmarkStart w:id="294" w:name="_Toc10760"/>
      <w:bookmarkStart w:id="295" w:name="_Toc5113"/>
      <w:bookmarkStart w:id="296" w:name="_Toc15933_WPSOffice_Level2"/>
      <w:bookmarkStart w:id="297" w:name="_Toc23755_WPSOffice_Level2"/>
      <w:r>
        <w:rPr>
          <w:rFonts w:hint="eastAsia"/>
          <w:lang w:val="en-US" w:eastAsia="zh-CN"/>
        </w:rPr>
        <w:t>5.3.4</w:t>
      </w:r>
      <w:r>
        <w:rPr>
          <w:rFonts w:hint="default"/>
        </w:rPr>
        <w:t>预警发布内容</w:t>
      </w:r>
      <w:bookmarkEnd w:id="293"/>
      <w:bookmarkEnd w:id="294"/>
      <w:bookmarkEnd w:id="295"/>
      <w:bookmarkEnd w:id="296"/>
      <w:bookmarkEnd w:id="297"/>
    </w:p>
    <w:p>
      <w:pPr>
        <w:pStyle w:val="14"/>
        <w:rPr>
          <w:rFonts w:hint="default"/>
        </w:rPr>
      </w:pPr>
      <w:r>
        <w:rPr>
          <w:rFonts w:hint="default"/>
        </w:rPr>
        <w:t>预警信息的内容包括：突发事件的类别、预警级别、响应级别、起始时间、可能影响的区域或范围、应重点关注的事项和建议采取的措施等内容。</w:t>
      </w:r>
    </w:p>
    <w:p>
      <w:pPr>
        <w:pStyle w:val="21"/>
        <w:rPr>
          <w:rFonts w:hint="default"/>
        </w:rPr>
      </w:pPr>
      <w:bookmarkStart w:id="298" w:name="_Toc12706"/>
      <w:bookmarkStart w:id="299" w:name="_Toc27418_WPSOffice_Level2"/>
      <w:bookmarkStart w:id="300" w:name="_Toc18257_WPSOffice_Level2"/>
      <w:bookmarkStart w:id="301" w:name="_Toc21111"/>
      <w:bookmarkStart w:id="302" w:name="_Toc8860"/>
      <w:r>
        <w:rPr>
          <w:rFonts w:hint="eastAsia"/>
          <w:lang w:val="en-US" w:eastAsia="zh-CN"/>
        </w:rPr>
        <w:t>5.3.5</w:t>
      </w:r>
      <w:r>
        <w:rPr>
          <w:rFonts w:hint="default"/>
        </w:rPr>
        <w:t>预警解除</w:t>
      </w:r>
      <w:bookmarkEnd w:id="298"/>
      <w:bookmarkEnd w:id="299"/>
      <w:bookmarkEnd w:id="300"/>
      <w:bookmarkEnd w:id="301"/>
      <w:bookmarkEnd w:id="302"/>
    </w:p>
    <w:p>
      <w:pPr>
        <w:pStyle w:val="14"/>
        <w:rPr>
          <w:rFonts w:hint="default"/>
        </w:rPr>
      </w:pPr>
      <w:r>
        <w:rPr>
          <w:rFonts w:hint="eastAsia"/>
          <w:lang w:eastAsia="zh-CN"/>
        </w:rPr>
        <w:t>污水处理厂</w:t>
      </w:r>
      <w:r>
        <w:rPr>
          <w:rFonts w:hint="default"/>
        </w:rPr>
        <w:t>应急指挥部办公室应跟踪事态的发展，根据事态的变化情况适时决定：宣布预警解除或启动应急预案。</w:t>
      </w:r>
    </w:p>
    <w:p>
      <w:pPr>
        <w:pStyle w:val="21"/>
        <w:rPr>
          <w:rFonts w:hint="default"/>
        </w:rPr>
      </w:pPr>
      <w:bookmarkStart w:id="303" w:name="_Toc21760"/>
      <w:bookmarkStart w:id="304" w:name="_Toc4499"/>
      <w:bookmarkStart w:id="305" w:name="_Toc2585_WPSOffice_Level2"/>
      <w:bookmarkStart w:id="306" w:name="_Toc2877"/>
      <w:bookmarkStart w:id="307" w:name="_Toc19241_WPSOffice_Level2"/>
      <w:r>
        <w:rPr>
          <w:rFonts w:hint="eastAsia"/>
          <w:lang w:val="en-US" w:eastAsia="zh-CN"/>
        </w:rPr>
        <w:t>5.3.6</w:t>
      </w:r>
      <w:r>
        <w:rPr>
          <w:rFonts w:hint="default"/>
        </w:rPr>
        <w:t>信息报告与通报</w:t>
      </w:r>
      <w:bookmarkEnd w:id="303"/>
      <w:bookmarkEnd w:id="304"/>
      <w:bookmarkEnd w:id="305"/>
      <w:bookmarkEnd w:id="306"/>
      <w:bookmarkEnd w:id="307"/>
    </w:p>
    <w:p>
      <w:pPr>
        <w:pStyle w:val="14"/>
        <w:rPr>
          <w:rFonts w:hint="default"/>
          <w:lang w:val="zh-CN"/>
        </w:rPr>
      </w:pPr>
      <w:bookmarkStart w:id="308" w:name="_Toc13893_WPSOffice_Level2"/>
      <w:bookmarkStart w:id="309" w:name="_Toc27608_WPSOffice_Level2"/>
      <w:r>
        <w:rPr>
          <w:rFonts w:hint="default"/>
          <w:lang w:val="zh-CN"/>
        </w:rPr>
        <w:t>1、初报</w:t>
      </w:r>
      <w:bookmarkEnd w:id="308"/>
      <w:bookmarkEnd w:id="309"/>
    </w:p>
    <w:p>
      <w:pPr>
        <w:pStyle w:val="14"/>
        <w:rPr>
          <w:rFonts w:hint="default"/>
          <w:lang w:val="zh-CN"/>
        </w:rPr>
      </w:pPr>
      <w:r>
        <w:rPr>
          <w:rFonts w:hint="default"/>
          <w:lang w:val="zh-CN"/>
        </w:rPr>
        <w:t>事故发生后，应秉着逐级上报的要求进行上报。</w:t>
      </w:r>
    </w:p>
    <w:p>
      <w:pPr>
        <w:pStyle w:val="14"/>
        <w:rPr>
          <w:rFonts w:hint="default"/>
          <w:lang w:val="zh-CN"/>
        </w:rPr>
      </w:pPr>
      <w:r>
        <w:rPr>
          <w:rFonts w:hint="default"/>
          <w:lang w:val="zh-CN"/>
        </w:rPr>
        <w:t>事故当事人或发现人应立即向应急办公室总负责人报告，报告内容包括事件发生时间、地点、类型，排放污染物的种类，已采取的应急措施，已污染的范围，可能受影响区域及采取的措施，是否有人员伤亡。</w:t>
      </w:r>
    </w:p>
    <w:p>
      <w:pPr>
        <w:pStyle w:val="14"/>
        <w:rPr>
          <w:rFonts w:hint="default"/>
          <w:lang w:val="zh-CN"/>
        </w:rPr>
      </w:pPr>
      <w:r>
        <w:rPr>
          <w:rFonts w:hint="default"/>
          <w:lang w:val="zh-CN"/>
        </w:rPr>
        <w:t>应急办公室总负责人（</w:t>
      </w:r>
      <w:r>
        <w:rPr>
          <w:rFonts w:hint="eastAsia"/>
          <w:lang w:eastAsia="zh-CN"/>
        </w:rPr>
        <w:t>温慧新</w:t>
      </w:r>
      <w:r>
        <w:rPr>
          <w:rFonts w:hint="default"/>
          <w:lang w:val="zh-CN"/>
        </w:rPr>
        <w:t>）应在接到报告后，第一时间赶到现场，对情况进行充分的了解，并必须在接到报告后的1小时内向应急指挥小组组长报告，越早越好。报告的内容同上，可增加废水污染的程度、影响程度等。</w:t>
      </w:r>
    </w:p>
    <w:p>
      <w:pPr>
        <w:pStyle w:val="14"/>
        <w:rPr>
          <w:rFonts w:hint="default"/>
          <w:lang w:val="zh-CN"/>
        </w:rPr>
      </w:pPr>
      <w:r>
        <w:rPr>
          <w:rFonts w:hint="default"/>
          <w:lang w:val="zh-CN"/>
        </w:rPr>
        <w:t>应急指挥小组组长（</w:t>
      </w:r>
      <w:r>
        <w:rPr>
          <w:rFonts w:hint="eastAsia"/>
          <w:lang w:eastAsia="zh-CN"/>
        </w:rPr>
        <w:t>魏跃林</w:t>
      </w:r>
      <w:r>
        <w:rPr>
          <w:rFonts w:hint="default"/>
          <w:lang w:val="zh-CN"/>
        </w:rPr>
        <w:t>）接到上报事故汇报后，视事件的等级决定是否上报。如需上报的，必须向</w:t>
      </w:r>
      <w:r>
        <w:rPr>
          <w:rFonts w:hint="eastAsia"/>
          <w:lang w:val="en-US" w:eastAsia="zh-CN"/>
        </w:rPr>
        <w:t>赣州市</w:t>
      </w:r>
      <w:r>
        <w:rPr>
          <w:rFonts w:hint="default"/>
          <w:lang w:val="en-US" w:eastAsia="zh-CN"/>
        </w:rPr>
        <w:t>人民政府、</w:t>
      </w:r>
      <w:r>
        <w:rPr>
          <w:rFonts w:hint="eastAsia"/>
          <w:lang w:val="en-US" w:eastAsia="zh-CN"/>
        </w:rPr>
        <w:t>赣州</w:t>
      </w:r>
      <w:r>
        <w:rPr>
          <w:rFonts w:hint="default"/>
          <w:lang w:val="en-US" w:eastAsia="zh-CN"/>
        </w:rPr>
        <w:t>市</w:t>
      </w:r>
      <w:r>
        <w:rPr>
          <w:rFonts w:hint="eastAsia"/>
          <w:lang w:val="zh-CN"/>
        </w:rPr>
        <w:t>生态环境局</w:t>
      </w:r>
      <w:r>
        <w:rPr>
          <w:rFonts w:hint="default"/>
          <w:lang w:val="en-US" w:eastAsia="zh-CN"/>
        </w:rPr>
        <w:t>以及</w:t>
      </w:r>
      <w:r>
        <w:rPr>
          <w:rFonts w:hint="eastAsia"/>
          <w:lang w:val="en-US" w:eastAsia="zh-CN"/>
        </w:rPr>
        <w:t>赣州市经开区</w:t>
      </w:r>
      <w:r>
        <w:rPr>
          <w:rFonts w:hint="default"/>
          <w:lang w:val="en-US" w:eastAsia="zh-CN"/>
        </w:rPr>
        <w:t>环保局</w:t>
      </w:r>
      <w:r>
        <w:rPr>
          <w:rFonts w:hint="default"/>
          <w:lang w:val="zh-CN"/>
        </w:rPr>
        <w:t>报告。报告内容包括事件发生时间、地点、类型和排放污染物的种类、数量、已采取的应急措施，已污染的范围，潜在的危害程度，转化方式及趋向，可能受影响区域及采取的措施，需要增援和救援的需求。</w:t>
      </w:r>
    </w:p>
    <w:p>
      <w:pPr>
        <w:pStyle w:val="14"/>
        <w:rPr>
          <w:rFonts w:hint="default"/>
          <w:lang w:val="zh-CN"/>
        </w:rPr>
      </w:pPr>
      <w:r>
        <w:rPr>
          <w:rFonts w:hint="eastAsia"/>
          <w:lang w:val="en-US" w:eastAsia="zh-CN"/>
        </w:rPr>
        <w:t>赣州</w:t>
      </w:r>
      <w:r>
        <w:rPr>
          <w:rFonts w:hint="default"/>
          <w:lang w:val="en-US" w:eastAsia="zh-CN"/>
        </w:rPr>
        <w:t>市人民政府</w:t>
      </w:r>
      <w:r>
        <w:rPr>
          <w:rFonts w:hint="eastAsia"/>
          <w:lang w:val="en-US" w:eastAsia="zh-CN"/>
        </w:rPr>
        <w:t>、赣州</w:t>
      </w:r>
      <w:r>
        <w:rPr>
          <w:rFonts w:hint="default"/>
          <w:lang w:val="en-US" w:eastAsia="zh-CN"/>
        </w:rPr>
        <w:t>市</w:t>
      </w:r>
      <w:r>
        <w:rPr>
          <w:rFonts w:hint="eastAsia"/>
          <w:lang w:val="zh-CN"/>
        </w:rPr>
        <w:t>生态环境</w:t>
      </w:r>
      <w:r>
        <w:rPr>
          <w:rFonts w:hint="default"/>
          <w:lang w:val="zh-CN"/>
        </w:rPr>
        <w:t>局</w:t>
      </w:r>
      <w:r>
        <w:rPr>
          <w:rFonts w:hint="default"/>
          <w:lang w:val="en-US" w:eastAsia="zh-CN"/>
        </w:rPr>
        <w:t>以及</w:t>
      </w:r>
      <w:r>
        <w:rPr>
          <w:rFonts w:hint="eastAsia"/>
          <w:lang w:val="en-US" w:eastAsia="zh-CN"/>
        </w:rPr>
        <w:t>赣州市经开区</w:t>
      </w:r>
      <w:r>
        <w:rPr>
          <w:rFonts w:hint="default"/>
          <w:lang w:val="en-US" w:eastAsia="zh-CN"/>
        </w:rPr>
        <w:t>环保局</w:t>
      </w:r>
      <w:r>
        <w:rPr>
          <w:rFonts w:hint="default"/>
          <w:lang w:val="zh-CN"/>
        </w:rPr>
        <w:t>接到汇报后，可视事故的情况，在1小时内逐级上报上级人民政府或环保部门。</w:t>
      </w:r>
    </w:p>
    <w:p>
      <w:pPr>
        <w:pStyle w:val="14"/>
        <w:rPr>
          <w:rFonts w:hint="default"/>
          <w:lang w:val="en-US" w:eastAsia="zh-CN"/>
        </w:rPr>
      </w:pPr>
      <w:r>
        <w:rPr>
          <w:rFonts w:hint="default"/>
          <w:lang w:val="en-US" w:eastAsia="zh-CN"/>
        </w:rPr>
        <w:t>通讯及后勤小组组长（</w:t>
      </w:r>
      <w:r>
        <w:rPr>
          <w:rFonts w:hint="eastAsia"/>
          <w:lang w:val="en-US" w:eastAsia="zh-CN"/>
        </w:rPr>
        <w:t>黄惠凤</w:t>
      </w:r>
      <w:r>
        <w:rPr>
          <w:rFonts w:hint="default"/>
          <w:lang w:val="en-US" w:eastAsia="zh-CN"/>
        </w:rPr>
        <w:t>）在事故发生的第一时间紧急联系周边企业及居民，同时在</w:t>
      </w:r>
      <w:r>
        <w:rPr>
          <w:rFonts w:hint="default"/>
          <w:lang w:val="zh-CN"/>
        </w:rPr>
        <w:t>1小时内</w:t>
      </w:r>
      <w:r>
        <w:rPr>
          <w:rFonts w:hint="default"/>
          <w:lang w:val="en-US" w:eastAsia="zh-CN"/>
        </w:rPr>
        <w:t>根据事故发生的类型准备应急物资。</w:t>
      </w:r>
    </w:p>
    <w:p>
      <w:pPr>
        <w:pStyle w:val="14"/>
        <w:rPr>
          <w:rFonts w:hint="default"/>
          <w:lang w:val="zh-CN"/>
        </w:rPr>
      </w:pPr>
      <w:bookmarkStart w:id="310" w:name="_Toc8568_WPSOffice_Level2"/>
      <w:bookmarkStart w:id="311" w:name="_Toc10459_WPSOffice_Level2"/>
      <w:r>
        <w:rPr>
          <w:rFonts w:hint="default"/>
          <w:lang w:val="zh-CN"/>
        </w:rPr>
        <w:t>2、续报：</w:t>
      </w:r>
      <w:bookmarkEnd w:id="310"/>
      <w:bookmarkEnd w:id="311"/>
    </w:p>
    <w:p>
      <w:pPr>
        <w:pStyle w:val="14"/>
        <w:rPr>
          <w:rFonts w:hint="default"/>
          <w:lang w:val="zh-CN"/>
        </w:rPr>
      </w:pPr>
      <w:r>
        <w:rPr>
          <w:rFonts w:hint="default"/>
          <w:lang w:val="zh-CN"/>
        </w:rPr>
        <w:t>在初报的基础上报告有关核实、确认的数据，包括事件发生的原因、过程、应急救援、处置效果、现场监测、污染物危害控制状况等基本情况。</w:t>
      </w:r>
    </w:p>
    <w:p>
      <w:pPr>
        <w:pStyle w:val="14"/>
        <w:rPr>
          <w:rFonts w:hint="default"/>
          <w:lang w:val="zh-CN"/>
        </w:rPr>
      </w:pPr>
      <w:bookmarkStart w:id="312" w:name="_Toc27025_WPSOffice_Level2"/>
      <w:bookmarkStart w:id="313" w:name="_Toc12080_WPSOffice_Level2"/>
      <w:r>
        <w:rPr>
          <w:rFonts w:hint="default"/>
          <w:lang w:val="zh-CN"/>
        </w:rPr>
        <w:t>3、处理结果报告：</w:t>
      </w:r>
      <w:bookmarkEnd w:id="312"/>
      <w:bookmarkEnd w:id="313"/>
    </w:p>
    <w:p>
      <w:pPr>
        <w:pStyle w:val="14"/>
        <w:rPr>
          <w:rFonts w:hint="eastAsia"/>
          <w:lang w:val="en-US" w:eastAsia="zh-CN"/>
        </w:rPr>
      </w:pPr>
      <w:r>
        <w:rPr>
          <w:rFonts w:hint="default"/>
          <w:lang w:val="zh-CN"/>
        </w:rPr>
        <w:t>应急指挥小组组长（</w:t>
      </w:r>
      <w:r>
        <w:rPr>
          <w:rFonts w:hint="eastAsia"/>
          <w:lang w:eastAsia="zh-CN"/>
        </w:rPr>
        <w:t>魏跃林</w:t>
      </w:r>
      <w:r>
        <w:rPr>
          <w:rFonts w:hint="default"/>
          <w:lang w:val="zh-CN"/>
        </w:rPr>
        <w:t>）采用书面报告，在初报和续报的基础上报告事件处置的措施、过程和结果，事件潜在或间接的危害、社会影响、处理后的遗留问题。</w:t>
      </w:r>
      <w:bookmarkStart w:id="314" w:name="_Toc7472"/>
      <w:r>
        <w:rPr>
          <w:rFonts w:hint="eastAsia"/>
          <w:lang w:val="en-US" w:eastAsia="zh-CN"/>
        </w:rPr>
        <w:br w:type="page"/>
      </w:r>
    </w:p>
    <w:p>
      <w:pPr>
        <w:pStyle w:val="19"/>
        <w:rPr>
          <w:rFonts w:hint="default"/>
          <w:lang w:val="en-US" w:eastAsia="zh-CN"/>
        </w:rPr>
      </w:pPr>
      <w:bookmarkStart w:id="315" w:name="_Toc839"/>
      <w:bookmarkStart w:id="316" w:name="_Toc7047"/>
      <w:bookmarkStart w:id="317" w:name="_Toc28651_WPSOffice_Level1"/>
      <w:r>
        <w:rPr>
          <w:rFonts w:hint="eastAsia"/>
          <w:lang w:val="en-US" w:eastAsia="zh-CN"/>
        </w:rPr>
        <w:t>6</w:t>
      </w:r>
      <w:r>
        <w:rPr>
          <w:rFonts w:hint="default"/>
          <w:lang w:val="en-US" w:eastAsia="zh-CN"/>
        </w:rPr>
        <w:t>应急响应和措施</w:t>
      </w:r>
      <w:bookmarkEnd w:id="314"/>
      <w:bookmarkEnd w:id="315"/>
      <w:bookmarkEnd w:id="316"/>
      <w:bookmarkEnd w:id="317"/>
    </w:p>
    <w:p>
      <w:pPr>
        <w:pStyle w:val="20"/>
        <w:rPr>
          <w:rFonts w:hint="default"/>
        </w:rPr>
      </w:pPr>
      <w:bookmarkStart w:id="318" w:name="_Toc1274"/>
      <w:bookmarkStart w:id="319" w:name="_Toc13012"/>
      <w:bookmarkStart w:id="320" w:name="_Toc2298"/>
      <w:bookmarkStart w:id="321" w:name="_Toc28887_WPSOffice_Level1"/>
      <w:r>
        <w:rPr>
          <w:rFonts w:hint="eastAsia"/>
          <w:lang w:val="en-US" w:eastAsia="zh-CN"/>
        </w:rPr>
        <w:t>6.1</w:t>
      </w:r>
      <w:r>
        <w:rPr>
          <w:rFonts w:hint="default"/>
        </w:rPr>
        <w:t>启动条件</w:t>
      </w:r>
      <w:bookmarkEnd w:id="318"/>
      <w:bookmarkEnd w:id="319"/>
      <w:bookmarkEnd w:id="320"/>
      <w:bookmarkEnd w:id="321"/>
    </w:p>
    <w:p>
      <w:pPr>
        <w:pStyle w:val="14"/>
        <w:rPr>
          <w:rFonts w:hint="default"/>
        </w:rPr>
      </w:pPr>
      <w:r>
        <w:rPr>
          <w:rFonts w:hint="default"/>
        </w:rPr>
        <w:t>符合以下条件之一，启动本应急响应：</w:t>
      </w:r>
    </w:p>
    <w:p>
      <w:pPr>
        <w:pStyle w:val="14"/>
        <w:rPr>
          <w:rFonts w:hint="default"/>
        </w:rPr>
      </w:pPr>
      <w:bookmarkStart w:id="322" w:name="_Toc31938_WPSOffice_Level2"/>
      <w:bookmarkStart w:id="323" w:name="_Toc355_WPSOffice_Level2"/>
      <w:r>
        <w:rPr>
          <w:rFonts w:hint="default"/>
        </w:rPr>
        <w:t>（1）国家、地方政府部门要求</w:t>
      </w:r>
      <w:r>
        <w:rPr>
          <w:rFonts w:hint="eastAsia"/>
          <w:lang w:eastAsia="zh-CN"/>
        </w:rPr>
        <w:t>污水处理厂</w:t>
      </w:r>
      <w:r>
        <w:rPr>
          <w:rFonts w:hint="default"/>
        </w:rPr>
        <w:t>启动本应急响应时；</w:t>
      </w:r>
      <w:bookmarkEnd w:id="322"/>
      <w:bookmarkEnd w:id="323"/>
    </w:p>
    <w:p>
      <w:pPr>
        <w:pStyle w:val="14"/>
        <w:rPr>
          <w:rFonts w:hint="default"/>
        </w:rPr>
      </w:pPr>
      <w:bookmarkStart w:id="324" w:name="_Toc10366_WPSOffice_Level2"/>
      <w:bookmarkStart w:id="325" w:name="_Toc16841_WPSOffice_Level2"/>
      <w:r>
        <w:rPr>
          <w:rFonts w:hint="default"/>
        </w:rPr>
        <w:t>（2）</w:t>
      </w:r>
      <w:r>
        <w:rPr>
          <w:rFonts w:hint="eastAsia"/>
          <w:lang w:eastAsia="zh-CN"/>
        </w:rPr>
        <w:t>污水处理厂</w:t>
      </w:r>
      <w:r>
        <w:rPr>
          <w:rFonts w:hint="default"/>
        </w:rPr>
        <w:t>发生突发环境事件，包括：</w:t>
      </w:r>
      <w:bookmarkEnd w:id="324"/>
      <w:bookmarkEnd w:id="325"/>
    </w:p>
    <w:p>
      <w:pPr>
        <w:pStyle w:val="14"/>
        <w:rPr>
          <w:rFonts w:hint="default"/>
        </w:rPr>
      </w:pPr>
      <w:bookmarkStart w:id="326" w:name="_Toc12838_WPSOffice_Level2"/>
      <w:bookmarkStart w:id="327" w:name="_Toc29613_WPSOffice_Level2"/>
      <w:r>
        <w:rPr>
          <w:rFonts w:hint="default"/>
        </w:rPr>
        <w:t>a、风险物质泄漏情景分析</w:t>
      </w:r>
      <w:bookmarkEnd w:id="326"/>
      <w:bookmarkEnd w:id="327"/>
    </w:p>
    <w:p>
      <w:pPr>
        <w:pStyle w:val="14"/>
        <w:rPr>
          <w:rFonts w:hint="default"/>
        </w:rPr>
      </w:pPr>
      <w:bookmarkStart w:id="328" w:name="_Toc30777_WPSOffice_Level2"/>
      <w:bookmarkStart w:id="329" w:name="_Toc31877_WPSOffice_Level2"/>
      <w:r>
        <w:rPr>
          <w:rFonts w:hint="default"/>
        </w:rPr>
        <w:t>b、收集范围内的进水水质异常情景分析</w:t>
      </w:r>
      <w:bookmarkEnd w:id="328"/>
      <w:bookmarkEnd w:id="329"/>
    </w:p>
    <w:p>
      <w:pPr>
        <w:pStyle w:val="14"/>
        <w:rPr>
          <w:rFonts w:hint="default"/>
        </w:rPr>
      </w:pPr>
      <w:bookmarkStart w:id="330" w:name="_Toc25122_WPSOffice_Level2"/>
      <w:bookmarkStart w:id="331" w:name="_Toc7441_WPSOffice_Level2"/>
      <w:r>
        <w:rPr>
          <w:rFonts w:hint="default"/>
        </w:rPr>
        <w:t>c、污水处理系统故障引发出水排放异常情景分析</w:t>
      </w:r>
      <w:bookmarkEnd w:id="330"/>
      <w:bookmarkEnd w:id="331"/>
    </w:p>
    <w:p>
      <w:pPr>
        <w:pStyle w:val="14"/>
        <w:rPr>
          <w:rFonts w:hint="default"/>
        </w:rPr>
      </w:pPr>
      <w:bookmarkStart w:id="332" w:name="_Toc10437_WPSOffice_Level2"/>
      <w:bookmarkStart w:id="333" w:name="_Toc24008_WPSOffice_Level2"/>
      <w:r>
        <w:rPr>
          <w:rFonts w:hint="default"/>
        </w:rPr>
        <w:t>d、极端天气引发出水排放异常情景分析</w:t>
      </w:r>
      <w:bookmarkEnd w:id="332"/>
      <w:bookmarkEnd w:id="333"/>
    </w:p>
    <w:p>
      <w:pPr>
        <w:pStyle w:val="14"/>
        <w:rPr>
          <w:rFonts w:hint="default"/>
        </w:rPr>
      </w:pPr>
      <w:bookmarkStart w:id="334" w:name="_Toc7826_WPSOffice_Level2"/>
      <w:bookmarkStart w:id="335" w:name="_Toc14499_WPSOffice_Level2"/>
      <w:r>
        <w:rPr>
          <w:rFonts w:hint="default"/>
        </w:rPr>
        <w:t>e、雨季大流量超越排放情景分析</w:t>
      </w:r>
      <w:bookmarkEnd w:id="334"/>
      <w:bookmarkEnd w:id="335"/>
    </w:p>
    <w:p>
      <w:pPr>
        <w:pStyle w:val="14"/>
        <w:rPr>
          <w:rFonts w:hint="default"/>
        </w:rPr>
      </w:pPr>
      <w:bookmarkStart w:id="336" w:name="_Toc21878_WPSOffice_Level2"/>
      <w:bookmarkStart w:id="337" w:name="_Toc19212_WPSOffice_Level2"/>
      <w:r>
        <w:rPr>
          <w:rFonts w:hint="default"/>
        </w:rPr>
        <w:t>f、火灾事故次生环境事件</w:t>
      </w:r>
      <w:bookmarkEnd w:id="336"/>
      <w:bookmarkEnd w:id="337"/>
    </w:p>
    <w:p>
      <w:pPr>
        <w:pStyle w:val="14"/>
        <w:rPr>
          <w:rFonts w:hint="default"/>
        </w:rPr>
      </w:pPr>
      <w:bookmarkStart w:id="338" w:name="_Toc18359_WPSOffice_Level2"/>
      <w:bookmarkStart w:id="339" w:name="_Toc31994_WPSOffice_Level2"/>
      <w:r>
        <w:rPr>
          <w:rFonts w:hint="default"/>
        </w:rPr>
        <w:t>g、配套污水收集管网破裂或沟渠破损引发污水泄漏</w:t>
      </w:r>
      <w:bookmarkEnd w:id="338"/>
      <w:bookmarkEnd w:id="339"/>
    </w:p>
    <w:p>
      <w:pPr>
        <w:pStyle w:val="14"/>
        <w:rPr>
          <w:rFonts w:hint="default"/>
        </w:rPr>
      </w:pPr>
      <w:bookmarkStart w:id="340" w:name="_Toc25628_WPSOffice_Level2"/>
      <w:bookmarkStart w:id="341" w:name="_Toc24097_WPSOffice_Level2"/>
      <w:r>
        <w:rPr>
          <w:rFonts w:hint="default"/>
        </w:rPr>
        <w:t>h、污水提升泵站停止运行导致管道或集水池污水溢流。</w:t>
      </w:r>
      <w:bookmarkEnd w:id="340"/>
      <w:bookmarkEnd w:id="341"/>
    </w:p>
    <w:p>
      <w:pPr>
        <w:pStyle w:val="20"/>
        <w:rPr>
          <w:rFonts w:hint="default"/>
        </w:rPr>
      </w:pPr>
      <w:bookmarkStart w:id="342" w:name="_Toc5342"/>
      <w:bookmarkStart w:id="343" w:name="_Toc9960"/>
      <w:bookmarkStart w:id="344" w:name="_Toc23356"/>
      <w:bookmarkStart w:id="345" w:name="_Toc24554_WPSOffice_Level1"/>
      <w:r>
        <w:rPr>
          <w:rFonts w:hint="eastAsia"/>
          <w:lang w:val="en-US" w:eastAsia="zh-CN"/>
        </w:rPr>
        <w:t>6.2</w:t>
      </w:r>
      <w:r>
        <w:rPr>
          <w:rFonts w:hint="default"/>
        </w:rPr>
        <w:t>响应程序</w:t>
      </w:r>
      <w:bookmarkEnd w:id="342"/>
      <w:bookmarkEnd w:id="343"/>
      <w:bookmarkEnd w:id="344"/>
      <w:bookmarkEnd w:id="345"/>
    </w:p>
    <w:p>
      <w:pPr>
        <w:pStyle w:val="14"/>
        <w:rPr>
          <w:rFonts w:hint="default"/>
          <w:lang w:val="zh-CN"/>
        </w:rPr>
        <w:sectPr>
          <w:pgSz w:w="11906" w:h="16838"/>
          <w:pgMar w:top="1440" w:right="1797" w:bottom="1712" w:left="1797"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lang w:val="zh-CN"/>
        </w:rPr>
        <w:t>赣州经开区污水处理厂</w:t>
      </w:r>
      <w:r>
        <w:rPr>
          <w:rFonts w:hint="default"/>
          <w:lang w:val="zh-CN"/>
        </w:rPr>
        <w:t>应急响应程序见下图</w:t>
      </w:r>
      <w:r>
        <w:rPr>
          <w:rFonts w:hint="eastAsia"/>
          <w:lang w:val="en-US" w:eastAsia="zh-CN"/>
        </w:rPr>
        <w:t>6</w:t>
      </w:r>
      <w:r>
        <w:rPr>
          <w:rFonts w:hint="default"/>
          <w:lang w:val="zh-CN"/>
        </w:rPr>
        <w:t>.2-1所示。</w:t>
      </w:r>
    </w:p>
    <w:p>
      <w:pPr>
        <w:autoSpaceDE w:val="0"/>
        <w:autoSpaceDN w:val="0"/>
        <w:adjustRightInd w:val="0"/>
        <w:ind w:firstLine="470" w:firstLineChars="196"/>
        <w:jc w:val="center"/>
        <w:rPr>
          <w:rFonts w:hint="default" w:ascii="Times New Roman" w:hAnsi="Times New Roman" w:cs="Times New Roman"/>
          <w:color w:val="auto"/>
          <w:kern w:val="0"/>
          <w:highlight w:val="none"/>
          <w:u w:val="none"/>
          <w:lang w:val="zh-CN"/>
        </w:rPr>
      </w:pPr>
    </w:p>
    <w:p>
      <w:pPr>
        <w:autoSpaceDE w:val="0"/>
        <w:autoSpaceDN w:val="0"/>
        <w:adjustRightInd w:val="0"/>
        <w:ind w:firstLine="470" w:firstLineChars="196"/>
        <w:jc w:val="left"/>
        <w:rPr>
          <w:rFonts w:hint="default" w:ascii="Times New Roman" w:hAnsi="Times New Roman" w:cs="Times New Roman"/>
          <w:color w:val="auto"/>
          <w:kern w:val="0"/>
          <w:highlight w:val="none"/>
          <w:u w:val="none"/>
          <w:lang w:val="zh-CN"/>
        </w:rPr>
      </w:pPr>
      <w:r>
        <w:rPr>
          <w:rFonts w:hint="default" w:ascii="Times New Roman" w:hAnsi="Times New Roman" w:cs="Times New Roman"/>
          <w:color w:val="auto"/>
          <w:kern w:val="0"/>
          <w:highlight w:val="none"/>
          <w:u w:val="none"/>
        </w:rPr>
        <mc:AlternateContent>
          <mc:Choice Requires="wpg">
            <w:drawing>
              <wp:anchor distT="0" distB="0" distL="114300" distR="114300" simplePos="0" relativeHeight="251662336" behindDoc="0" locked="0" layoutInCell="1" allowOverlap="1">
                <wp:simplePos x="0" y="0"/>
                <wp:positionH relativeFrom="column">
                  <wp:posOffset>157480</wp:posOffset>
                </wp:positionH>
                <wp:positionV relativeFrom="paragraph">
                  <wp:posOffset>-110490</wp:posOffset>
                </wp:positionV>
                <wp:extent cx="4978400" cy="6505575"/>
                <wp:effectExtent l="4445" t="4445" r="8255" b="5080"/>
                <wp:wrapNone/>
                <wp:docPr id="50" name="组合 50"/>
                <wp:cNvGraphicFramePr/>
                <a:graphic xmlns:a="http://schemas.openxmlformats.org/drawingml/2006/main">
                  <a:graphicData uri="http://schemas.microsoft.com/office/word/2010/wordprocessingGroup">
                    <wpg:wgp>
                      <wpg:cNvGrpSpPr/>
                      <wpg:grpSpPr>
                        <a:xfrm>
                          <a:off x="0" y="0"/>
                          <a:ext cx="4978400" cy="6505575"/>
                          <a:chOff x="2048" y="1266"/>
                          <a:chExt cx="7840" cy="10245"/>
                        </a:xfrm>
                      </wpg:grpSpPr>
                      <wps:wsp>
                        <wps:cNvPr id="5" name="矩形 5"/>
                        <wps:cNvSpPr/>
                        <wps:spPr>
                          <a:xfrm>
                            <a:off x="2048" y="5232"/>
                            <a:ext cx="2326" cy="1785"/>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sz w:val="21"/>
                                  <w:szCs w:val="21"/>
                                </w:rPr>
                              </w:pPr>
                              <w:r>
                                <w:rPr>
                                  <w:rFonts w:hint="eastAsia"/>
                                  <w:sz w:val="21"/>
                                  <w:szCs w:val="21"/>
                                </w:rPr>
                                <w:t>信息及时上报</w:t>
                              </w:r>
                              <w:r>
                                <w:rPr>
                                  <w:rFonts w:hint="eastAsia"/>
                                  <w:sz w:val="21"/>
                                  <w:szCs w:val="21"/>
                                  <w:lang w:eastAsia="zh-CN"/>
                                </w:rPr>
                                <w:t>赣州</w:t>
                              </w:r>
                              <w:r>
                                <w:rPr>
                                  <w:rFonts w:hint="eastAsia"/>
                                  <w:sz w:val="21"/>
                                  <w:szCs w:val="21"/>
                                </w:rPr>
                                <w:t>市住房和城乡建设委员会和</w:t>
                              </w:r>
                              <w:r>
                                <w:rPr>
                                  <w:rFonts w:hint="eastAsia"/>
                                  <w:sz w:val="21"/>
                                  <w:szCs w:val="21"/>
                                  <w:lang w:eastAsia="zh-CN"/>
                                </w:rPr>
                                <w:t>赣州</w:t>
                              </w:r>
                              <w:r>
                                <w:rPr>
                                  <w:rFonts w:hint="eastAsia"/>
                                  <w:sz w:val="21"/>
                                  <w:szCs w:val="21"/>
                                </w:rPr>
                                <w:t>市</w:t>
                              </w:r>
                              <w:r>
                                <w:rPr>
                                  <w:rFonts w:hint="eastAsia"/>
                                  <w:sz w:val="21"/>
                                  <w:szCs w:val="21"/>
                                  <w:lang w:eastAsia="zh-CN"/>
                                </w:rPr>
                                <w:t>生态环境局</w:t>
                              </w:r>
                              <w:r>
                                <w:rPr>
                                  <w:rFonts w:hint="eastAsia"/>
                                  <w:sz w:val="21"/>
                                  <w:szCs w:val="21"/>
                                </w:rPr>
                                <w:t>、</w:t>
                              </w:r>
                              <w:r>
                                <w:rPr>
                                  <w:rFonts w:hint="eastAsia"/>
                                  <w:sz w:val="21"/>
                                  <w:szCs w:val="21"/>
                                  <w:lang w:eastAsia="zh-CN"/>
                                </w:rPr>
                                <w:t>赣州</w:t>
                              </w:r>
                              <w:r>
                                <w:rPr>
                                  <w:rFonts w:hint="eastAsia"/>
                                  <w:sz w:val="21"/>
                                  <w:szCs w:val="21"/>
                                </w:rPr>
                                <w:t>市人民政府，必要时请求支援</w:t>
                              </w:r>
                            </w:p>
                            <w:p>
                              <w:pPr>
                                <w:spacing w:line="240" w:lineRule="auto"/>
                                <w:ind w:firstLine="0" w:firstLineChars="0"/>
                                <w:rPr>
                                  <w:sz w:val="21"/>
                                  <w:szCs w:val="21"/>
                                </w:rPr>
                              </w:pPr>
                            </w:p>
                          </w:txbxContent>
                        </wps:txbx>
                        <wps:bodyPr upright="1"/>
                      </wps:wsp>
                      <wps:wsp>
                        <wps:cNvPr id="6" name="矩形 6"/>
                        <wps:cNvSpPr/>
                        <wps:spPr>
                          <a:xfrm>
                            <a:off x="6557" y="9795"/>
                            <a:ext cx="627" cy="468"/>
                          </a:xfrm>
                          <a:prstGeom prst="rect">
                            <a:avLst/>
                          </a:prstGeom>
                          <a:solidFill>
                            <a:srgbClr val="FFFFFF"/>
                          </a:solidFill>
                          <a:ln w="9525">
                            <a:noFill/>
                          </a:ln>
                        </wps:spPr>
                        <wps:txbx>
                          <w:txbxContent>
                            <w:p>
                              <w:pPr>
                                <w:spacing w:line="240" w:lineRule="auto"/>
                                <w:ind w:firstLine="0" w:firstLineChars="0"/>
                                <w:rPr>
                                  <w:rFonts w:hint="eastAsia"/>
                                </w:rPr>
                              </w:pPr>
                              <w:r>
                                <w:rPr>
                                  <w:rFonts w:hint="eastAsia"/>
                                </w:rPr>
                                <w:t>是</w:t>
                              </w:r>
                            </w:p>
                          </w:txbxContent>
                        </wps:txbx>
                        <wps:bodyPr upright="1"/>
                      </wps:wsp>
                      <wps:wsp>
                        <wps:cNvPr id="7" name="矩形 7"/>
                        <wps:cNvSpPr/>
                        <wps:spPr>
                          <a:xfrm>
                            <a:off x="4164" y="9015"/>
                            <a:ext cx="627" cy="468"/>
                          </a:xfrm>
                          <a:prstGeom prst="rect">
                            <a:avLst/>
                          </a:prstGeom>
                          <a:solidFill>
                            <a:srgbClr val="FFFFFF"/>
                          </a:solidFill>
                          <a:ln w="9525">
                            <a:noFill/>
                          </a:ln>
                        </wps:spPr>
                        <wps:txbx>
                          <w:txbxContent>
                            <w:p>
                              <w:pPr>
                                <w:spacing w:line="240" w:lineRule="auto"/>
                                <w:ind w:firstLine="0" w:firstLineChars="0"/>
                                <w:rPr>
                                  <w:rFonts w:hint="eastAsia"/>
                                </w:rPr>
                              </w:pPr>
                              <w:r>
                                <w:rPr>
                                  <w:rFonts w:hint="eastAsia"/>
                                </w:rPr>
                                <w:t>否</w:t>
                              </w:r>
                            </w:p>
                          </w:txbxContent>
                        </wps:txbx>
                        <wps:bodyPr upright="1"/>
                      </wps:wsp>
                      <wps:wsp>
                        <wps:cNvPr id="8" name="直接连接符 8"/>
                        <wps:cNvCnPr/>
                        <wps:spPr>
                          <a:xfrm flipH="1">
                            <a:off x="3928" y="9483"/>
                            <a:ext cx="946" cy="0"/>
                          </a:xfrm>
                          <a:prstGeom prst="line">
                            <a:avLst/>
                          </a:prstGeom>
                          <a:ln w="9525" cap="flat" cmpd="sng">
                            <a:solidFill>
                              <a:srgbClr val="000000"/>
                            </a:solidFill>
                            <a:prstDash val="solid"/>
                            <a:headEnd type="none" w="med" len="med"/>
                            <a:tailEnd type="triangle" w="med" len="med"/>
                          </a:ln>
                        </wps:spPr>
                        <wps:bodyPr upright="1"/>
                      </wps:wsp>
                      <wps:wsp>
                        <wps:cNvPr id="9" name="矩形 9"/>
                        <wps:cNvSpPr/>
                        <wps:spPr>
                          <a:xfrm>
                            <a:off x="2546" y="9171"/>
                            <a:ext cx="1385"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响应升级</w:t>
                              </w:r>
                            </w:p>
                          </w:txbxContent>
                        </wps:txbx>
                        <wps:bodyPr upright="1"/>
                      </wps:wsp>
                      <wps:wsp>
                        <wps:cNvPr id="10" name="直接连接符 10"/>
                        <wps:cNvCnPr/>
                        <wps:spPr>
                          <a:xfrm flipV="1">
                            <a:off x="3117" y="8703"/>
                            <a:ext cx="0" cy="468"/>
                          </a:xfrm>
                          <a:prstGeom prst="line">
                            <a:avLst/>
                          </a:prstGeom>
                          <a:ln w="9525" cap="flat" cmpd="sng">
                            <a:solidFill>
                              <a:srgbClr val="000000"/>
                            </a:solidFill>
                            <a:prstDash val="solid"/>
                            <a:headEnd type="none" w="med" len="med"/>
                            <a:tailEnd type="triangle" w="med" len="med"/>
                          </a:ln>
                        </wps:spPr>
                        <wps:bodyPr upright="1"/>
                      </wps:wsp>
                      <wps:wsp>
                        <wps:cNvPr id="11" name="矩形 11"/>
                        <wps:cNvSpPr/>
                        <wps:spPr>
                          <a:xfrm>
                            <a:off x="2713" y="8235"/>
                            <a:ext cx="913"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增援</w:t>
                              </w:r>
                            </w:p>
                          </w:txbxContent>
                        </wps:txbx>
                        <wps:bodyPr upright="1"/>
                      </wps:wsp>
                      <wps:wsp>
                        <wps:cNvPr id="12" name="直接连接符 12"/>
                        <wps:cNvCnPr/>
                        <wps:spPr>
                          <a:xfrm>
                            <a:off x="3658" y="8391"/>
                            <a:ext cx="1220" cy="0"/>
                          </a:xfrm>
                          <a:prstGeom prst="line">
                            <a:avLst/>
                          </a:prstGeom>
                          <a:ln w="9525" cap="flat" cmpd="sng">
                            <a:solidFill>
                              <a:srgbClr val="000000"/>
                            </a:solidFill>
                            <a:prstDash val="solid"/>
                            <a:headEnd type="none" w="med" len="med"/>
                            <a:tailEnd type="triangle" w="med" len="med"/>
                          </a:ln>
                        </wps:spPr>
                        <wps:bodyPr upright="1"/>
                      </wps:wsp>
                      <wps:wsp>
                        <wps:cNvPr id="13" name="矩形 13"/>
                        <wps:cNvSpPr/>
                        <wps:spPr>
                          <a:xfrm>
                            <a:off x="5814" y="10263"/>
                            <a:ext cx="1463"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应急终止</w:t>
                              </w:r>
                            </w:p>
                          </w:txbxContent>
                        </wps:txbx>
                        <wps:bodyPr upright="1"/>
                      </wps:wsp>
                      <wps:wsp>
                        <wps:cNvPr id="14" name="矩形 14"/>
                        <wps:cNvSpPr/>
                        <wps:spPr>
                          <a:xfrm>
                            <a:off x="4905" y="8235"/>
                            <a:ext cx="3271" cy="468"/>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应急处置、安全防护和撤离</w:t>
                              </w:r>
                            </w:p>
                          </w:txbxContent>
                        </wps:txbx>
                        <wps:bodyPr upright="1"/>
                      </wps:wsp>
                      <wps:wsp>
                        <wps:cNvPr id="15" name="直接连接符 15"/>
                        <wps:cNvCnPr/>
                        <wps:spPr>
                          <a:xfrm>
                            <a:off x="6511" y="9951"/>
                            <a:ext cx="0" cy="312"/>
                          </a:xfrm>
                          <a:prstGeom prst="line">
                            <a:avLst/>
                          </a:prstGeom>
                          <a:ln w="9525" cap="flat" cmpd="sng">
                            <a:solidFill>
                              <a:srgbClr val="000000"/>
                            </a:solidFill>
                            <a:prstDash val="solid"/>
                            <a:headEnd type="none" w="med" len="med"/>
                            <a:tailEnd type="triangle" w="med" len="med"/>
                          </a:ln>
                        </wps:spPr>
                        <wps:bodyPr upright="1"/>
                      </wps:wsp>
                      <wps:wsp>
                        <wps:cNvPr id="16" name="流程图: 决策 16"/>
                        <wps:cNvSpPr/>
                        <wps:spPr>
                          <a:xfrm>
                            <a:off x="4848" y="9015"/>
                            <a:ext cx="3353" cy="936"/>
                          </a:xfrm>
                          <a:prstGeom prst="flowChartDecision">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事态是否控制</w:t>
                              </w:r>
                            </w:p>
                          </w:txbxContent>
                        </wps:txbx>
                        <wps:bodyPr upright="1"/>
                      </wps:wsp>
                      <wps:wsp>
                        <wps:cNvPr id="17" name="直接连接符 17"/>
                        <wps:cNvCnPr/>
                        <wps:spPr>
                          <a:xfrm>
                            <a:off x="6544" y="8703"/>
                            <a:ext cx="0" cy="312"/>
                          </a:xfrm>
                          <a:prstGeom prst="line">
                            <a:avLst/>
                          </a:prstGeom>
                          <a:ln w="9525" cap="flat" cmpd="sng">
                            <a:solidFill>
                              <a:srgbClr val="000000"/>
                            </a:solidFill>
                            <a:prstDash val="solid"/>
                            <a:headEnd type="none" w="med" len="med"/>
                            <a:tailEnd type="triangle" w="med" len="med"/>
                          </a:ln>
                        </wps:spPr>
                        <wps:bodyPr upright="1"/>
                      </wps:wsp>
                      <wps:wsp>
                        <wps:cNvPr id="18" name="矩形 18"/>
                        <wps:cNvSpPr/>
                        <wps:spPr>
                          <a:xfrm>
                            <a:off x="5260" y="11043"/>
                            <a:ext cx="2473"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后期处置、总结评审</w:t>
                              </w:r>
                            </w:p>
                          </w:txbxContent>
                        </wps:txbx>
                        <wps:bodyPr upright="1"/>
                      </wps:wsp>
                      <wps:wsp>
                        <wps:cNvPr id="19" name="直接连接符 19"/>
                        <wps:cNvCnPr/>
                        <wps:spPr>
                          <a:xfrm>
                            <a:off x="6517" y="10731"/>
                            <a:ext cx="0" cy="312"/>
                          </a:xfrm>
                          <a:prstGeom prst="line">
                            <a:avLst/>
                          </a:prstGeom>
                          <a:ln w="9525" cap="flat" cmpd="sng">
                            <a:solidFill>
                              <a:srgbClr val="000000"/>
                            </a:solidFill>
                            <a:prstDash val="solid"/>
                            <a:headEnd type="none" w="med" len="med"/>
                            <a:tailEnd type="triangle" w="med" len="med"/>
                          </a:ln>
                        </wps:spPr>
                        <wps:bodyPr upright="1"/>
                      </wps:wsp>
                      <wps:wsp>
                        <wps:cNvPr id="20" name="直接连接符 20"/>
                        <wps:cNvCnPr/>
                        <wps:spPr>
                          <a:xfrm>
                            <a:off x="6544" y="7923"/>
                            <a:ext cx="0" cy="312"/>
                          </a:xfrm>
                          <a:prstGeom prst="line">
                            <a:avLst/>
                          </a:prstGeom>
                          <a:ln w="9525" cap="flat" cmpd="sng">
                            <a:solidFill>
                              <a:srgbClr val="000000"/>
                            </a:solidFill>
                            <a:prstDash val="solid"/>
                            <a:headEnd type="none" w="med" len="med"/>
                            <a:tailEnd type="triangle" w="med" len="med"/>
                          </a:ln>
                        </wps:spPr>
                        <wps:bodyPr upright="1"/>
                      </wps:wsp>
                      <wps:wsp>
                        <wps:cNvPr id="21" name="直接连接符 21"/>
                        <wps:cNvCnPr/>
                        <wps:spPr>
                          <a:xfrm>
                            <a:off x="6547" y="7143"/>
                            <a:ext cx="0" cy="312"/>
                          </a:xfrm>
                          <a:prstGeom prst="line">
                            <a:avLst/>
                          </a:prstGeom>
                          <a:ln w="9525" cap="flat" cmpd="sng">
                            <a:solidFill>
                              <a:srgbClr val="000000"/>
                            </a:solidFill>
                            <a:prstDash val="solid"/>
                            <a:headEnd type="none" w="med" len="med"/>
                            <a:tailEnd type="triangle" w="med" len="med"/>
                          </a:ln>
                        </wps:spPr>
                        <wps:bodyPr upright="1"/>
                      </wps:wsp>
                      <wps:wsp>
                        <wps:cNvPr id="22" name="矩形 22"/>
                        <wps:cNvSpPr/>
                        <wps:spPr>
                          <a:xfrm>
                            <a:off x="5741" y="7455"/>
                            <a:ext cx="1825" cy="468"/>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启动应急预案</w:t>
                              </w:r>
                            </w:p>
                          </w:txbxContent>
                        </wps:txbx>
                        <wps:bodyPr upright="1"/>
                      </wps:wsp>
                      <wps:wsp>
                        <wps:cNvPr id="23" name="矩形 23"/>
                        <wps:cNvSpPr/>
                        <wps:spPr>
                          <a:xfrm>
                            <a:off x="5735" y="6675"/>
                            <a:ext cx="1861" cy="468"/>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应急响应分级</w:t>
                              </w:r>
                            </w:p>
                          </w:txbxContent>
                        </wps:txbx>
                        <wps:bodyPr upright="1"/>
                      </wps:wsp>
                      <wps:wsp>
                        <wps:cNvPr id="24" name="直接连接符 24"/>
                        <wps:cNvCnPr/>
                        <wps:spPr>
                          <a:xfrm>
                            <a:off x="6526" y="6207"/>
                            <a:ext cx="0" cy="468"/>
                          </a:xfrm>
                          <a:prstGeom prst="line">
                            <a:avLst/>
                          </a:prstGeom>
                          <a:ln w="9525" cap="flat" cmpd="sng">
                            <a:solidFill>
                              <a:srgbClr val="000000"/>
                            </a:solidFill>
                            <a:prstDash val="solid"/>
                            <a:headEnd type="none" w="med" len="med"/>
                            <a:tailEnd type="triangle" w="med" len="med"/>
                          </a:ln>
                        </wps:spPr>
                        <wps:bodyPr upright="1"/>
                      </wps:wsp>
                      <wps:wsp>
                        <wps:cNvPr id="25" name="直接连接符 25"/>
                        <wps:cNvCnPr/>
                        <wps:spPr>
                          <a:xfrm flipH="1">
                            <a:off x="4479" y="6051"/>
                            <a:ext cx="1654" cy="0"/>
                          </a:xfrm>
                          <a:prstGeom prst="line">
                            <a:avLst/>
                          </a:prstGeom>
                          <a:ln w="9525" cap="flat" cmpd="sng">
                            <a:solidFill>
                              <a:srgbClr val="000000"/>
                            </a:solidFill>
                            <a:prstDash val="solid"/>
                            <a:headEnd type="none" w="med" len="med"/>
                            <a:tailEnd type="triangle" w="med" len="med"/>
                          </a:ln>
                        </wps:spPr>
                        <wps:bodyPr upright="1"/>
                      </wps:wsp>
                      <wps:wsp>
                        <wps:cNvPr id="26" name="矩形 26"/>
                        <wps:cNvSpPr/>
                        <wps:spPr>
                          <a:xfrm>
                            <a:off x="4399" y="4876"/>
                            <a:ext cx="1812" cy="1077"/>
                          </a:xfrm>
                          <a:prstGeom prst="rect">
                            <a:avLst/>
                          </a:prstGeom>
                          <a:solidFill>
                            <a:srgbClr val="FFFFFF"/>
                          </a:solidFill>
                          <a:ln w="9525">
                            <a:noFill/>
                          </a:ln>
                        </wps:spPr>
                        <wps:txbx>
                          <w:txbxContent>
                            <w:p>
                              <w:pPr>
                                <w:spacing w:line="240" w:lineRule="auto"/>
                                <w:ind w:firstLine="0" w:firstLineChars="0"/>
                                <w:rPr>
                                  <w:rFonts w:hint="eastAsia"/>
                                </w:rPr>
                              </w:pPr>
                              <w:r>
                                <w:rPr>
                                  <w:rFonts w:hint="eastAsia"/>
                                </w:rPr>
                                <w:t>其中，I级预警、超出场界的II级预警</w:t>
                              </w:r>
                            </w:p>
                          </w:txbxContent>
                        </wps:txbx>
                        <wps:bodyPr upright="1"/>
                      </wps:wsp>
                      <wps:wsp>
                        <wps:cNvPr id="27" name="矩形 27"/>
                        <wps:cNvSpPr/>
                        <wps:spPr>
                          <a:xfrm>
                            <a:off x="6417" y="4959"/>
                            <a:ext cx="2177" cy="468"/>
                          </a:xfrm>
                          <a:prstGeom prst="rect">
                            <a:avLst/>
                          </a:prstGeom>
                          <a:solidFill>
                            <a:srgbClr val="FFFFFF"/>
                          </a:solidFill>
                          <a:ln w="9525">
                            <a:noFill/>
                          </a:ln>
                        </wps:spPr>
                        <wps:txbx>
                          <w:txbxContent>
                            <w:p>
                              <w:pPr>
                                <w:spacing w:line="240" w:lineRule="auto"/>
                                <w:ind w:firstLine="0" w:firstLineChars="0"/>
                                <w:rPr>
                                  <w:rFonts w:hint="eastAsia"/>
                                </w:rPr>
                              </w:pPr>
                              <w:r>
                                <w:rPr>
                                  <w:rFonts w:hint="eastAsia"/>
                                </w:rPr>
                                <w:t>判断时未控制住</w:t>
                              </w:r>
                            </w:p>
                          </w:txbxContent>
                        </wps:txbx>
                        <wps:bodyPr upright="1"/>
                      </wps:wsp>
                      <wps:wsp>
                        <wps:cNvPr id="28" name="直接连接符 28"/>
                        <wps:cNvCnPr/>
                        <wps:spPr>
                          <a:xfrm flipH="1">
                            <a:off x="6510" y="4959"/>
                            <a:ext cx="0" cy="780"/>
                          </a:xfrm>
                          <a:prstGeom prst="line">
                            <a:avLst/>
                          </a:prstGeom>
                          <a:ln w="9525" cap="flat" cmpd="sng">
                            <a:solidFill>
                              <a:srgbClr val="000000"/>
                            </a:solidFill>
                            <a:prstDash val="solid"/>
                            <a:headEnd type="none" w="med" len="med"/>
                            <a:tailEnd type="triangle" w="med" len="med"/>
                          </a:ln>
                        </wps:spPr>
                        <wps:bodyPr upright="1"/>
                      </wps:wsp>
                      <wps:wsp>
                        <wps:cNvPr id="29" name="矩形 29"/>
                        <wps:cNvSpPr/>
                        <wps:spPr>
                          <a:xfrm>
                            <a:off x="6118" y="5739"/>
                            <a:ext cx="871" cy="466"/>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hint="eastAsia"/>
                                </w:rPr>
                              </w:pPr>
                              <w:r>
                                <w:rPr>
                                  <w:rFonts w:hint="eastAsia"/>
                                </w:rPr>
                                <w:t>预警</w:t>
                              </w:r>
                            </w:p>
                          </w:txbxContent>
                        </wps:txbx>
                        <wps:bodyPr upright="1"/>
                      </wps:wsp>
                      <wps:wsp>
                        <wps:cNvPr id="30" name="直接连接符 30"/>
                        <wps:cNvCnPr/>
                        <wps:spPr>
                          <a:xfrm>
                            <a:off x="7693" y="2202"/>
                            <a:ext cx="395" cy="0"/>
                          </a:xfrm>
                          <a:prstGeom prst="line">
                            <a:avLst/>
                          </a:prstGeom>
                          <a:ln w="9525" cap="flat" cmpd="sng">
                            <a:solidFill>
                              <a:srgbClr val="000000"/>
                            </a:solidFill>
                            <a:prstDash val="solid"/>
                            <a:headEnd type="none" w="med" len="med"/>
                            <a:tailEnd type="triangle" w="med" len="med"/>
                          </a:ln>
                        </wps:spPr>
                        <wps:bodyPr upright="1"/>
                      </wps:wsp>
                      <wps:wsp>
                        <wps:cNvPr id="31" name="矩形 31"/>
                        <wps:cNvSpPr/>
                        <wps:spPr>
                          <a:xfrm>
                            <a:off x="8068" y="2046"/>
                            <a:ext cx="1399" cy="468"/>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先行处置</w:t>
                              </w:r>
                            </w:p>
                          </w:txbxContent>
                        </wps:txbx>
                        <wps:bodyPr upright="1"/>
                      </wps:wsp>
                      <wps:wsp>
                        <wps:cNvPr id="32" name="直接连接符 32"/>
                        <wps:cNvCnPr/>
                        <wps:spPr>
                          <a:xfrm>
                            <a:off x="8820" y="2514"/>
                            <a:ext cx="0" cy="312"/>
                          </a:xfrm>
                          <a:prstGeom prst="line">
                            <a:avLst/>
                          </a:prstGeom>
                          <a:ln w="9525" cap="flat" cmpd="sng">
                            <a:solidFill>
                              <a:srgbClr val="000000"/>
                            </a:solidFill>
                            <a:prstDash val="solid"/>
                            <a:headEnd type="none" w="med" len="med"/>
                            <a:tailEnd type="triangle" w="med" len="med"/>
                          </a:ln>
                        </wps:spPr>
                        <wps:bodyPr upright="1"/>
                      </wps:wsp>
                      <wps:wsp>
                        <wps:cNvPr id="33" name="矩形 33"/>
                        <wps:cNvSpPr/>
                        <wps:spPr>
                          <a:xfrm>
                            <a:off x="7983" y="2826"/>
                            <a:ext cx="1905" cy="417"/>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处置情况汇报</w:t>
                              </w:r>
                            </w:p>
                          </w:txbxContent>
                        </wps:txbx>
                        <wps:bodyPr upright="1"/>
                      </wps:wsp>
                      <wps:wsp>
                        <wps:cNvPr id="34" name="直接连接符 34"/>
                        <wps:cNvCnPr/>
                        <wps:spPr>
                          <a:xfrm flipH="1">
                            <a:off x="7700" y="4491"/>
                            <a:ext cx="1121" cy="0"/>
                          </a:xfrm>
                          <a:prstGeom prst="line">
                            <a:avLst/>
                          </a:prstGeom>
                          <a:ln w="9525" cap="flat" cmpd="sng">
                            <a:solidFill>
                              <a:srgbClr val="000000"/>
                            </a:solidFill>
                            <a:prstDash val="solid"/>
                            <a:headEnd type="none" w="med" len="med"/>
                            <a:tailEnd type="triangle" w="med" len="med"/>
                          </a:ln>
                        </wps:spPr>
                        <wps:bodyPr upright="1"/>
                      </wps:wsp>
                      <wps:wsp>
                        <wps:cNvPr id="35" name="直接连接符 35"/>
                        <wps:cNvCnPr/>
                        <wps:spPr>
                          <a:xfrm>
                            <a:off x="8826" y="3243"/>
                            <a:ext cx="0" cy="1248"/>
                          </a:xfrm>
                          <a:prstGeom prst="line">
                            <a:avLst/>
                          </a:prstGeom>
                          <a:ln w="9525" cap="flat" cmpd="sng">
                            <a:solidFill>
                              <a:srgbClr val="000000"/>
                            </a:solidFill>
                            <a:prstDash val="solid"/>
                            <a:headEnd type="none" w="med" len="med"/>
                            <a:tailEnd type="none" w="med" len="med"/>
                          </a:ln>
                        </wps:spPr>
                        <wps:bodyPr upright="1"/>
                      </wps:wsp>
                      <wps:wsp>
                        <wps:cNvPr id="36" name="矩形 36"/>
                        <wps:cNvSpPr/>
                        <wps:spPr>
                          <a:xfrm>
                            <a:off x="4337" y="3555"/>
                            <a:ext cx="1310" cy="808"/>
                          </a:xfrm>
                          <a:prstGeom prst="rect">
                            <a:avLst/>
                          </a:prstGeom>
                          <a:solidFill>
                            <a:srgbClr val="FFFFFF"/>
                          </a:solidFill>
                          <a:ln w="9525">
                            <a:noFill/>
                          </a:ln>
                        </wps:spPr>
                        <wps:txbx>
                          <w:txbxContent>
                            <w:p>
                              <w:pPr>
                                <w:spacing w:line="240" w:lineRule="auto"/>
                                <w:ind w:firstLine="0" w:firstLineChars="0"/>
                                <w:rPr>
                                  <w:rFonts w:hint="eastAsia"/>
                                </w:rPr>
                              </w:pPr>
                              <w:r>
                                <w:rPr>
                                  <w:rFonts w:hint="eastAsia"/>
                                </w:rPr>
                                <w:t>判断时已经控制住</w:t>
                              </w:r>
                            </w:p>
                          </w:txbxContent>
                        </wps:txbx>
                        <wps:bodyPr upright="1"/>
                      </wps:wsp>
                      <wps:wsp>
                        <wps:cNvPr id="37" name="矩形 37"/>
                        <wps:cNvSpPr/>
                        <wps:spPr>
                          <a:xfrm>
                            <a:off x="5522" y="2826"/>
                            <a:ext cx="2299" cy="72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szCs w:val="21"/>
                                </w:rPr>
                              </w:pPr>
                              <w:r>
                                <w:rPr>
                                  <w:rFonts w:hint="eastAsia"/>
                                  <w:szCs w:val="21"/>
                                </w:rPr>
                                <w:t>报警、向</w:t>
                              </w:r>
                              <w:r>
                                <w:rPr>
                                  <w:kern w:val="0"/>
                                  <w:szCs w:val="21"/>
                                  <w:lang w:val="zh-CN"/>
                                </w:rPr>
                                <w:t>应急救援领导小组</w:t>
                              </w:r>
                              <w:r>
                                <w:rPr>
                                  <w:rFonts w:hint="eastAsia"/>
                                  <w:szCs w:val="21"/>
                                </w:rPr>
                                <w:t>汇报</w:t>
                              </w:r>
                            </w:p>
                          </w:txbxContent>
                        </wps:txbx>
                        <wps:bodyPr upright="1"/>
                      </wps:wsp>
                      <wps:wsp>
                        <wps:cNvPr id="38" name="矩形 38"/>
                        <wps:cNvSpPr/>
                        <wps:spPr>
                          <a:xfrm>
                            <a:off x="5379" y="1266"/>
                            <a:ext cx="2566" cy="468"/>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事故发生或仪器报警</w:t>
                              </w:r>
                            </w:p>
                          </w:txbxContent>
                        </wps:txbx>
                        <wps:bodyPr upright="1"/>
                      </wps:wsp>
                      <wps:wsp>
                        <wps:cNvPr id="39" name="直接连接符 39"/>
                        <wps:cNvCnPr/>
                        <wps:spPr>
                          <a:xfrm>
                            <a:off x="6527" y="1734"/>
                            <a:ext cx="0" cy="312"/>
                          </a:xfrm>
                          <a:prstGeom prst="line">
                            <a:avLst/>
                          </a:prstGeom>
                          <a:ln w="9525" cap="flat" cmpd="sng">
                            <a:solidFill>
                              <a:srgbClr val="000000"/>
                            </a:solidFill>
                            <a:prstDash val="solid"/>
                            <a:headEnd type="none" w="med" len="med"/>
                            <a:tailEnd type="triangle" w="med" len="med"/>
                          </a:ln>
                        </wps:spPr>
                        <wps:bodyPr upright="1"/>
                      </wps:wsp>
                      <wps:wsp>
                        <wps:cNvPr id="40" name="矩形 40"/>
                        <wps:cNvSpPr/>
                        <wps:spPr>
                          <a:xfrm>
                            <a:off x="5632" y="2046"/>
                            <a:ext cx="2081" cy="468"/>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第一发现人接警</w:t>
                              </w:r>
                            </w:p>
                          </w:txbxContent>
                        </wps:txbx>
                        <wps:bodyPr upright="1"/>
                      </wps:wsp>
                      <wps:wsp>
                        <wps:cNvPr id="41" name="直接连接符 41"/>
                        <wps:cNvCnPr/>
                        <wps:spPr>
                          <a:xfrm>
                            <a:off x="6527" y="2514"/>
                            <a:ext cx="0" cy="312"/>
                          </a:xfrm>
                          <a:prstGeom prst="line">
                            <a:avLst/>
                          </a:prstGeom>
                          <a:ln w="9525" cap="flat" cmpd="sng">
                            <a:solidFill>
                              <a:srgbClr val="000000"/>
                            </a:solidFill>
                            <a:prstDash val="solid"/>
                            <a:headEnd type="none" w="med" len="med"/>
                            <a:tailEnd type="triangle" w="med" len="med"/>
                          </a:ln>
                        </wps:spPr>
                        <wps:bodyPr upright="1"/>
                      </wps:wsp>
                      <wps:wsp>
                        <wps:cNvPr id="42" name="直接连接符 42"/>
                        <wps:cNvCnPr/>
                        <wps:spPr>
                          <a:xfrm>
                            <a:off x="6518" y="3555"/>
                            <a:ext cx="0" cy="468"/>
                          </a:xfrm>
                          <a:prstGeom prst="line">
                            <a:avLst/>
                          </a:prstGeom>
                          <a:ln w="9525" cap="flat" cmpd="sng">
                            <a:solidFill>
                              <a:srgbClr val="000000"/>
                            </a:solidFill>
                            <a:prstDash val="solid"/>
                            <a:headEnd type="none" w="med" len="med"/>
                            <a:tailEnd type="triangle" w="med" len="med"/>
                          </a:ln>
                        </wps:spPr>
                        <wps:bodyPr upright="1"/>
                      </wps:wsp>
                      <wps:wsp>
                        <wps:cNvPr id="43" name="矩形 43"/>
                        <wps:cNvSpPr/>
                        <wps:spPr>
                          <a:xfrm>
                            <a:off x="4899" y="2200"/>
                            <a:ext cx="729" cy="468"/>
                          </a:xfrm>
                          <a:prstGeom prst="rect">
                            <a:avLst/>
                          </a:prstGeom>
                          <a:solidFill>
                            <a:srgbClr val="FFFFFF"/>
                          </a:solidFill>
                          <a:ln w="9525">
                            <a:noFill/>
                          </a:ln>
                        </wps:spPr>
                        <wps:txbx>
                          <w:txbxContent>
                            <w:p>
                              <w:pPr>
                                <w:spacing w:line="240" w:lineRule="auto"/>
                                <w:ind w:firstLine="0" w:firstLineChars="0"/>
                                <w:rPr>
                                  <w:rFonts w:hint="eastAsia"/>
                                  <w:sz w:val="21"/>
                                  <w:szCs w:val="21"/>
                                </w:rPr>
                              </w:pPr>
                              <w:r>
                                <w:rPr>
                                  <w:rFonts w:hint="eastAsia"/>
                                  <w:sz w:val="21"/>
                                  <w:szCs w:val="21"/>
                                </w:rPr>
                                <w:t>关闭</w:t>
                              </w:r>
                            </w:p>
                          </w:txbxContent>
                        </wps:txbx>
                        <wps:bodyPr upright="1"/>
                      </wps:wsp>
                      <wpg:grpSp>
                        <wpg:cNvPr id="49" name="组合 49"/>
                        <wpg:cNvGrpSpPr/>
                        <wpg:grpSpPr>
                          <a:xfrm>
                            <a:off x="4140" y="2044"/>
                            <a:ext cx="3580" cy="2918"/>
                            <a:chOff x="0" y="0"/>
                            <a:chExt cx="3083" cy="2918"/>
                          </a:xfrm>
                        </wpg:grpSpPr>
                        <wps:wsp>
                          <wps:cNvPr id="44" name="流程图: 决策 44"/>
                          <wps:cNvSpPr/>
                          <wps:spPr>
                            <a:xfrm>
                              <a:off x="998" y="1979"/>
                              <a:ext cx="2085" cy="939"/>
                            </a:xfrm>
                            <a:prstGeom prst="flowChartDecision">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警情判断</w:t>
                                </w:r>
                              </w:p>
                            </w:txbxContent>
                          </wps:txbx>
                          <wps:bodyPr upright="1"/>
                        </wps:wsp>
                        <wps:wsp>
                          <wps:cNvPr id="45" name="直接连接符 45"/>
                          <wps:cNvCnPr/>
                          <wps:spPr>
                            <a:xfrm flipH="1">
                              <a:off x="265" y="2447"/>
                              <a:ext cx="732" cy="0"/>
                            </a:xfrm>
                            <a:prstGeom prst="line">
                              <a:avLst/>
                            </a:prstGeom>
                            <a:ln w="9525" cap="flat" cmpd="sng">
                              <a:solidFill>
                                <a:srgbClr val="000000"/>
                              </a:solidFill>
                              <a:prstDash val="solid"/>
                              <a:headEnd type="none" w="med" len="med"/>
                              <a:tailEnd type="none" w="med" len="med"/>
                            </a:ln>
                          </wps:spPr>
                          <wps:bodyPr upright="1"/>
                        </wps:wsp>
                        <wps:wsp>
                          <wps:cNvPr id="46" name="矩形 46"/>
                          <wps:cNvSpPr/>
                          <wps:spPr>
                            <a:xfrm>
                              <a:off x="0" y="0"/>
                              <a:ext cx="750" cy="419"/>
                            </a:xfrm>
                            <a:prstGeom prst="rect">
                              <a:avLst/>
                            </a:prstGeom>
                            <a:noFill/>
                            <a:ln w="9525" cap="flat" cmpd="sng">
                              <a:solidFill>
                                <a:srgbClr val="000000"/>
                              </a:solidFill>
                              <a:prstDash val="solid"/>
                              <a:miter/>
                              <a:headEnd type="none" w="med" len="med"/>
                              <a:tailEnd type="none" w="med" len="med"/>
                            </a:ln>
                          </wps:spPr>
                          <wps:txbx>
                            <w:txbxContent>
                              <w:p>
                                <w:pPr>
                                  <w:spacing w:line="240" w:lineRule="auto"/>
                                  <w:ind w:firstLine="0" w:firstLineChars="0"/>
                                  <w:rPr>
                                    <w:rFonts w:hint="eastAsia"/>
                                  </w:rPr>
                                </w:pPr>
                                <w:r>
                                  <w:rPr>
                                    <w:rFonts w:hint="eastAsia"/>
                                  </w:rPr>
                                  <w:t>反馈</w:t>
                                </w:r>
                              </w:p>
                            </w:txbxContent>
                          </wps:txbx>
                          <wps:bodyPr upright="1"/>
                        </wps:wsp>
                        <wps:wsp>
                          <wps:cNvPr id="47" name="直接连接符 47"/>
                          <wps:cNvCnPr/>
                          <wps:spPr>
                            <a:xfrm>
                              <a:off x="751" y="156"/>
                              <a:ext cx="530" cy="0"/>
                            </a:xfrm>
                            <a:prstGeom prst="line">
                              <a:avLst/>
                            </a:prstGeom>
                            <a:ln w="9525" cap="flat" cmpd="sng">
                              <a:solidFill>
                                <a:srgbClr val="000000"/>
                              </a:solidFill>
                              <a:prstDash val="solid"/>
                              <a:headEnd type="none" w="med" len="med"/>
                              <a:tailEnd type="triangle" w="med" len="med"/>
                            </a:ln>
                          </wps:spPr>
                          <wps:bodyPr upright="1"/>
                        </wps:wsp>
                        <wps:wsp>
                          <wps:cNvPr id="48" name="直接连接符 48"/>
                          <wps:cNvCnPr/>
                          <wps:spPr>
                            <a:xfrm flipV="1">
                              <a:off x="267" y="419"/>
                              <a:ext cx="0" cy="2028"/>
                            </a:xfrm>
                            <a:prstGeom prst="line">
                              <a:avLst/>
                            </a:prstGeom>
                            <a:ln w="9525" cap="flat" cmpd="sng">
                              <a:solidFill>
                                <a:srgbClr val="000000"/>
                              </a:solidFill>
                              <a:prstDash val="solid"/>
                              <a:headEnd type="none" w="med" len="med"/>
                              <a:tailEnd type="triangle" w="med" len="med"/>
                            </a:ln>
                          </wps:spPr>
                          <wps:bodyPr upright="1"/>
                        </wps:wsp>
                      </wpg:grpSp>
                    </wpg:wgp>
                  </a:graphicData>
                </a:graphic>
              </wp:anchor>
            </w:drawing>
          </mc:Choice>
          <mc:Fallback>
            <w:pict>
              <v:group id="_x0000_s1026" o:spid="_x0000_s1026" o:spt="203" style="position:absolute;left:0pt;margin-left:12.4pt;margin-top:-8.7pt;height:512.25pt;width:392pt;z-index:251662336;mso-width-relative:page;mso-height-relative:page;" coordorigin="2048,1266" coordsize="7840,10245" o:gfxdata="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">
                <o:lock v:ext="edit" aspectratio="f"/>
                <v:rect id="_x0000_s1026" o:spid="_x0000_s1026" o:spt="1" style="position:absolute;left:2048;top:5232;height:1785;width:2326;" filled="f" stroked="t" coordsize="21600,21600" o:gfxdata="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TgwfugAAANo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w:txbxContent>
                      <w:p>
                        <w:pPr>
                          <w:spacing w:line="240" w:lineRule="auto"/>
                          <w:ind w:firstLine="0" w:firstLineChars="0"/>
                          <w:rPr>
                            <w:sz w:val="21"/>
                            <w:szCs w:val="21"/>
                          </w:rPr>
                        </w:pPr>
                        <w:r>
                          <w:rPr>
                            <w:rFonts w:hint="eastAsia"/>
                            <w:sz w:val="21"/>
                            <w:szCs w:val="21"/>
                          </w:rPr>
                          <w:t>信息及时上报</w:t>
                        </w:r>
                        <w:r>
                          <w:rPr>
                            <w:rFonts w:hint="eastAsia"/>
                            <w:sz w:val="21"/>
                            <w:szCs w:val="21"/>
                            <w:lang w:eastAsia="zh-CN"/>
                          </w:rPr>
                          <w:t>赣州</w:t>
                        </w:r>
                        <w:r>
                          <w:rPr>
                            <w:rFonts w:hint="eastAsia"/>
                            <w:sz w:val="21"/>
                            <w:szCs w:val="21"/>
                          </w:rPr>
                          <w:t>市住房和城乡建设委员会和</w:t>
                        </w:r>
                        <w:r>
                          <w:rPr>
                            <w:rFonts w:hint="eastAsia"/>
                            <w:sz w:val="21"/>
                            <w:szCs w:val="21"/>
                            <w:lang w:eastAsia="zh-CN"/>
                          </w:rPr>
                          <w:t>赣州</w:t>
                        </w:r>
                        <w:r>
                          <w:rPr>
                            <w:rFonts w:hint="eastAsia"/>
                            <w:sz w:val="21"/>
                            <w:szCs w:val="21"/>
                          </w:rPr>
                          <w:t>市</w:t>
                        </w:r>
                        <w:r>
                          <w:rPr>
                            <w:rFonts w:hint="eastAsia"/>
                            <w:sz w:val="21"/>
                            <w:szCs w:val="21"/>
                            <w:lang w:eastAsia="zh-CN"/>
                          </w:rPr>
                          <w:t>生态环境局</w:t>
                        </w:r>
                        <w:r>
                          <w:rPr>
                            <w:rFonts w:hint="eastAsia"/>
                            <w:sz w:val="21"/>
                            <w:szCs w:val="21"/>
                          </w:rPr>
                          <w:t>、</w:t>
                        </w:r>
                        <w:r>
                          <w:rPr>
                            <w:rFonts w:hint="eastAsia"/>
                            <w:sz w:val="21"/>
                            <w:szCs w:val="21"/>
                            <w:lang w:eastAsia="zh-CN"/>
                          </w:rPr>
                          <w:t>赣州</w:t>
                        </w:r>
                        <w:r>
                          <w:rPr>
                            <w:rFonts w:hint="eastAsia"/>
                            <w:sz w:val="21"/>
                            <w:szCs w:val="21"/>
                          </w:rPr>
                          <w:t>市人民政府，必要时请求支援</w:t>
                        </w:r>
                      </w:p>
                      <w:p>
                        <w:pPr>
                          <w:spacing w:line="240" w:lineRule="auto"/>
                          <w:ind w:firstLine="0" w:firstLineChars="0"/>
                          <w:rPr>
                            <w:sz w:val="21"/>
                            <w:szCs w:val="21"/>
                          </w:rPr>
                        </w:pPr>
                      </w:p>
                    </w:txbxContent>
                  </v:textbox>
                </v:rect>
                <v:rect id="_x0000_s1026" o:spid="_x0000_s1026" o:spt="1" style="position:absolute;left:6557;top:9795;height:468;width:627;"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pPr>
                          <w:spacing w:line="240" w:lineRule="auto"/>
                          <w:ind w:firstLine="0" w:firstLineChars="0"/>
                          <w:rPr>
                            <w:rFonts w:hint="eastAsia"/>
                          </w:rPr>
                        </w:pPr>
                        <w:r>
                          <w:rPr>
                            <w:rFonts w:hint="eastAsia"/>
                          </w:rPr>
                          <w:t>是</w:t>
                        </w:r>
                      </w:p>
                    </w:txbxContent>
                  </v:textbox>
                </v:rect>
                <v:rect id="_x0000_s1026" o:spid="_x0000_s1026" o:spt="1" style="position:absolute;left:4164;top:9015;height:468;width:627;" fillcolor="#FFFFFF" filled="t" stroked="f" coordsize="21600,21600" o:gfxdata="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Q82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pPr>
                          <w:spacing w:line="240" w:lineRule="auto"/>
                          <w:ind w:firstLine="0" w:firstLineChars="0"/>
                          <w:rPr>
                            <w:rFonts w:hint="eastAsia"/>
                          </w:rPr>
                        </w:pPr>
                        <w:r>
                          <w:rPr>
                            <w:rFonts w:hint="eastAsia"/>
                          </w:rPr>
                          <w:t>否</w:t>
                        </w:r>
                      </w:p>
                    </w:txbxContent>
                  </v:textbox>
                </v:rect>
                <v:line id="_x0000_s1026" o:spid="_x0000_s1026" o:spt="20" style="position:absolute;left:3928;top:9483;flip:x;height:0;width:946;" filled="f" stroked="t" coordsize="21600,21600" o:gfxdata="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zYdz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rect id="_x0000_s1026" o:spid="_x0000_s1026" o:spt="1" style="position:absolute;left:2546;top:9171;height:468;width:1385;"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auto"/>
                          <w:ind w:firstLine="0" w:firstLineChars="0"/>
                          <w:rPr>
                            <w:rFonts w:hint="eastAsia"/>
                          </w:rPr>
                        </w:pPr>
                        <w:r>
                          <w:rPr>
                            <w:rFonts w:hint="eastAsia"/>
                          </w:rPr>
                          <w:t>响应升级</w:t>
                        </w:r>
                      </w:p>
                    </w:txbxContent>
                  </v:textbox>
                </v:rect>
                <v:line id="_x0000_s1026" o:spid="_x0000_s1026" o:spt="20" style="position:absolute;left:3117;top:8703;flip:y;height:468;width:0;"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2713;top:8235;height:468;width:913;"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pacing w:line="240" w:lineRule="auto"/>
                          <w:ind w:firstLine="0" w:firstLineChars="0"/>
                          <w:rPr>
                            <w:rFonts w:hint="eastAsia"/>
                          </w:rPr>
                        </w:pPr>
                        <w:r>
                          <w:rPr>
                            <w:rFonts w:hint="eastAsia"/>
                          </w:rPr>
                          <w:t>增援</w:t>
                        </w:r>
                      </w:p>
                    </w:txbxContent>
                  </v:textbox>
                </v:rect>
                <v:line id="_x0000_s1026" o:spid="_x0000_s1026" o:spt="20" style="position:absolute;left:3658;top:8391;height:0;width:1220;" filled="f" stroked="t" coordsize="21600,21600" o:gfxdata="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fH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_x0000_s1026" o:spid="_x0000_s1026" o:spt="1" style="position:absolute;left:5814;top:10263;height:468;width:1463;" fillcolor="#FFFFFF" filled="t" stroked="t"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spacing w:line="240" w:lineRule="auto"/>
                          <w:ind w:firstLine="0" w:firstLineChars="0"/>
                          <w:rPr>
                            <w:rFonts w:hint="eastAsia"/>
                          </w:rPr>
                        </w:pPr>
                        <w:r>
                          <w:rPr>
                            <w:rFonts w:hint="eastAsia"/>
                          </w:rPr>
                          <w:t>应急终止</w:t>
                        </w:r>
                      </w:p>
                    </w:txbxContent>
                  </v:textbox>
                </v:rect>
                <v:rect id="_x0000_s1026" o:spid="_x0000_s1026" o:spt="1" style="position:absolute;left:4905;top:8235;height:468;width:3271;" filled="f" stroked="t" coordsize="21600,21600" o:gfxdata="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DVLFy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应急处置、安全防护和撤离</w:t>
                        </w:r>
                      </w:p>
                    </w:txbxContent>
                  </v:textbox>
                </v:rect>
                <v:line id="_x0000_s1026" o:spid="_x0000_s1026" o:spt="20" style="position:absolute;left:6511;top:9951;height:312;width:0;"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_x0000_s1026" o:spid="_x0000_s1026" o:spt="110" type="#_x0000_t110" style="position:absolute;left:4848;top:9015;height:936;width:3353;" filled="f" stroked="t" coordsize="21600,21600" o:gfxdata="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2sq9C8AAAA&#10;2w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事态是否控制</w:t>
                        </w:r>
                      </w:p>
                    </w:txbxContent>
                  </v:textbox>
                </v:shape>
                <v:line id="_x0000_s1026" o:spid="_x0000_s1026" o:spt="20" style="position:absolute;left:6544;top:8703;height:312;width:0;" filled="f" stroked="t" coordsize="21600,21600"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rect id="_x0000_s1026" o:spid="_x0000_s1026" o:spt="1" style="position:absolute;left:5260;top:11043;height:468;width:2473;"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auto"/>
                          <w:ind w:firstLine="0" w:firstLineChars="0"/>
                          <w:rPr>
                            <w:rFonts w:hint="eastAsia"/>
                          </w:rPr>
                        </w:pPr>
                        <w:r>
                          <w:rPr>
                            <w:rFonts w:hint="eastAsia"/>
                          </w:rPr>
                          <w:t>后期处置、总结评审</w:t>
                        </w:r>
                      </w:p>
                    </w:txbxContent>
                  </v:textbox>
                </v:rect>
                <v:line id="_x0000_s1026" o:spid="_x0000_s1026" o:spt="20" style="position:absolute;left:6517;top:10731;height:312;width:0;" filled="f" stroked="t" coordsize="21600,21600" o:gfxdata="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1U2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6544;top:7923;height:312;width:0;" filled="f" stroked="t" coordsize="21600,2160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6547;top:7143;height:312;width:0;" filled="f" stroked="t" coordsize="21600,21600" o:gfxdata="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mTj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5741;top:7455;height:468;width:1825;" filled="f" stroked="t" coordsize="21600,21600" o:gfxdata="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HNsO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启动应急预案</w:t>
                        </w:r>
                      </w:p>
                    </w:txbxContent>
                  </v:textbox>
                </v:rect>
                <v:rect id="_x0000_s1026" o:spid="_x0000_s1026" o:spt="1" style="position:absolute;left:5735;top:6675;height:468;width:1861;" filled="f" stroked="t" coordsize="21600,21600" o:gfxdata="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UH6V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应急响应分级</w:t>
                        </w:r>
                      </w:p>
                    </w:txbxContent>
                  </v:textbox>
                </v:rect>
                <v:line id="_x0000_s1026" o:spid="_x0000_s1026" o:spt="20" style="position:absolute;left:6526;top:6207;height:468;width:0;" filled="f" stroked="t" coordsize="21600,21600" o:gfxdata="UEsDBAoAAAAAAIdO4kAAAAAAAAAAAAAAAAAEAAAAZHJzL1BLAwQUAAAACACHTuJA2P4wFb8AAADb&#10;AAAADwAAAGRycy9kb3ducmV2LnhtbEWPT2vCQBTE7wW/w/IEb3UTk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MB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4479;top:6051;flip:x;height:0;width:1654;" filled="f" stroked="t" coordsize="21600,21600" o:gfxdata="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mzU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4399;top:4876;height:1077;width:1812;" fillcolor="#FFFFFF" filled="t" stroked="f" coordsize="21600,21600" o:gfxdata="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Ej97vQAA&#10;ANsAAAAPAAAAAAAAAAEAIAAAACIAAABkcnMvZG93bnJldi54bWxQSwECFAAUAAAACACHTuJAMy8F&#10;njsAAAA5AAAAEAAAAAAAAAABACAAAAAMAQAAZHJzL3NoYXBleG1sLnhtbFBLBQYAAAAABgAGAFsB&#10;AAC2AwAAAAA=&#10;">
                  <v:fill on="t" focussize="0,0"/>
                  <v:stroke on="f"/>
                  <v:imagedata o:title=""/>
                  <o:lock v:ext="edit" aspectratio="f"/>
                  <v:textbox>
                    <w:txbxContent>
                      <w:p>
                        <w:pPr>
                          <w:spacing w:line="240" w:lineRule="auto"/>
                          <w:ind w:firstLine="0" w:firstLineChars="0"/>
                          <w:rPr>
                            <w:rFonts w:hint="eastAsia"/>
                          </w:rPr>
                        </w:pPr>
                        <w:r>
                          <w:rPr>
                            <w:rFonts w:hint="eastAsia"/>
                          </w:rPr>
                          <w:t>其中，I级预警、超出场界的II级预警</w:t>
                        </w:r>
                      </w:p>
                    </w:txbxContent>
                  </v:textbox>
                </v:rect>
                <v:rect id="_x0000_s1026" o:spid="_x0000_s1026" o:spt="1" style="position:absolute;left:6417;top:4959;height:468;width:2177;" fillcolor="#FFFFFF" filled="t" stroked="f" coordsize="21600,21600" o:gfxdata="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16a4L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pPr>
                          <w:spacing w:line="240" w:lineRule="auto"/>
                          <w:ind w:firstLine="0" w:firstLineChars="0"/>
                          <w:rPr>
                            <w:rFonts w:hint="eastAsia"/>
                          </w:rPr>
                        </w:pPr>
                        <w:r>
                          <w:rPr>
                            <w:rFonts w:hint="eastAsia"/>
                          </w:rPr>
                          <w:t>判断时未控制住</w:t>
                        </w:r>
                      </w:p>
                    </w:txbxContent>
                  </v:textbox>
                </v:rect>
                <v:line id="_x0000_s1026" o:spid="_x0000_s1026" o:spt="20" style="position:absolute;left:6510;top:4959;flip:x;height:780;width:0;" filled="f" stroked="t" coordsize="21600,21600" o:gfxdata="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2gcz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_x0000_s1026" o:spid="_x0000_s1026" o:spt="1" style="position:absolute;left:6118;top:5739;height:466;width:871;" filled="f" stroked="t" coordsize="21600,21600" o:gfxdata="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uEl/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spacing w:line="240" w:lineRule="auto"/>
                          <w:ind w:firstLine="0" w:firstLineChars="0"/>
                          <w:jc w:val="center"/>
                          <w:rPr>
                            <w:rFonts w:hint="eastAsia"/>
                          </w:rPr>
                        </w:pPr>
                        <w:r>
                          <w:rPr>
                            <w:rFonts w:hint="eastAsia"/>
                          </w:rPr>
                          <w:t>预警</w:t>
                        </w:r>
                      </w:p>
                    </w:txbxContent>
                  </v:textbox>
                </v:rect>
                <v:line id="_x0000_s1026" o:spid="_x0000_s1026" o:spt="20" style="position:absolute;left:7693;top:2202;height:0;width:395;" filled="f" stroked="t" coordsize="21600,21600" o:gfxdata="UEsDBAoAAAAAAIdO4kAAAAAAAAAAAAAAAAAEAAAAZHJzL1BLAwQUAAAACACHTuJAIhygy7sAAADb&#10;AAAADwAAAGRycy9kb3ducmV2LnhtbEVPy4rCMBTdC/MP4Q6407QK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ygy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_x0000_s1026" o:spid="_x0000_s1026" o:spt="1" style="position:absolute;left:8068;top:2046;height:468;width:1399;" filled="f" stroked="t" coordsize="21600,21600" o:gfxdata="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F9Ok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先行处置</w:t>
                        </w:r>
                      </w:p>
                    </w:txbxContent>
                  </v:textbox>
                </v:rect>
                <v:line id="_x0000_s1026" o:spid="_x0000_s1026" o:spt="20" style="position:absolute;left:8820;top:2514;height:312;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7983;top:2826;height:417;width:1905;" filled="f" stroked="t" coordsize="21600,21600" o:gfxdata="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noSLsAAADb&#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处置情况汇报</w:t>
                        </w:r>
                      </w:p>
                    </w:txbxContent>
                  </v:textbox>
                </v:rect>
                <v:line id="_x0000_s1026" o:spid="_x0000_s1026" o:spt="20" style="position:absolute;left:7700;top:4491;flip:x;height:0;width:1121;" filled="f" stroked="t" coordsize="21600,21600" o:gfxdata="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f8gB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8826;top:3243;height:1248;width:0;"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rect id="_x0000_s1026" o:spid="_x0000_s1026" o:spt="1" style="position:absolute;left:4337;top:3555;height:808;width:1310;" fillcolor="#FFFFFF" filled="t" stroked="f" coordsize="21600,21600" o:gfxdata="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upp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pPr>
                          <w:spacing w:line="240" w:lineRule="auto"/>
                          <w:ind w:firstLine="0" w:firstLineChars="0"/>
                          <w:rPr>
                            <w:rFonts w:hint="eastAsia"/>
                          </w:rPr>
                        </w:pPr>
                        <w:r>
                          <w:rPr>
                            <w:rFonts w:hint="eastAsia"/>
                          </w:rPr>
                          <w:t>判断时已经控制住</w:t>
                        </w:r>
                      </w:p>
                    </w:txbxContent>
                  </v:textbox>
                </v:rect>
                <v:rect id="_x0000_s1026" o:spid="_x0000_s1026" o:spt="1" style="position:absolute;left:5522;top:2826;height:729;width:2299;"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auto"/>
                          <w:ind w:firstLine="0" w:firstLineChars="0"/>
                          <w:rPr>
                            <w:rFonts w:hint="eastAsia"/>
                            <w:szCs w:val="21"/>
                          </w:rPr>
                        </w:pPr>
                        <w:r>
                          <w:rPr>
                            <w:rFonts w:hint="eastAsia"/>
                            <w:szCs w:val="21"/>
                          </w:rPr>
                          <w:t>报警、向</w:t>
                        </w:r>
                        <w:r>
                          <w:rPr>
                            <w:kern w:val="0"/>
                            <w:szCs w:val="21"/>
                            <w:lang w:val="zh-CN"/>
                          </w:rPr>
                          <w:t>应急救援领导小组</w:t>
                        </w:r>
                        <w:r>
                          <w:rPr>
                            <w:rFonts w:hint="eastAsia"/>
                            <w:szCs w:val="21"/>
                          </w:rPr>
                          <w:t>汇报</w:t>
                        </w:r>
                      </w:p>
                    </w:txbxContent>
                  </v:textbox>
                </v:rect>
                <v:rect id="_x0000_s1026" o:spid="_x0000_s1026" o:spt="1" style="position:absolute;left:5379;top:1266;height:468;width:2566;" filled="f" stroked="t" coordsize="21600,21600" o:gfxdata="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otejm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事故发生或仪器报警</w:t>
                        </w:r>
                      </w:p>
                    </w:txbxContent>
                  </v:textbox>
                </v:rect>
                <v:line id="_x0000_s1026" o:spid="_x0000_s1026" o:spt="20" style="position:absolute;left:6527;top:1734;height:312;width:0;" filled="f" stroked="t" coordsize="21600,21600" o:gfxdata="UEsDBAoAAAAAAIdO4kAAAAAAAAAAAAAAAAAEAAAAZHJzL1BLAwQUAAAACACHTuJAsyYJVr8AAADb&#10;AAAADwAAAGRycy9kb3ducmV2LnhtbEWPT2vCQBTE7wW/w/KE3uomFkq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mCV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5632;top:2046;height:468;width:2081;" filled="f" stroked="t" coordsize="21600,21600" o:gfxdata="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xdBUK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第一发现人接警</w:t>
                        </w:r>
                      </w:p>
                    </w:txbxContent>
                  </v:textbox>
                </v:rect>
                <v:line id="_x0000_s1026" o:spid="_x0000_s1026" o:spt="20" style="position:absolute;left:6527;top:2514;height:312;width:0;" filled="f" stroked="t" coordsize="21600,21600" o:gfxdata="UEsDBAoAAAAAAIdO4kAAAAAAAAAAAAAAAAAEAAAAZHJzL1BLAwQUAAAACACHTuJAFVZ2Lb4AAADb&#10;AAAADwAAAGRycy9kb3ducmV2LnhtbEWPQWvCQBSE7wX/w/IEb3UTk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VZ2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6518;top:3555;height:468;width:0;" filled="f" stroked="t" coordsize="21600,21600" o:gfxdata="UEsDBAoAAAAAAIdO4kAAAAAAAAAAAAAAAAAEAAAAZHJzL1BLAwQUAAAACACHTuJA5YToWr8AAADb&#10;AAAADwAAAGRycy9kb3ducmV2LnhtbEWPT2vCQBTE7wW/w/IEb3UTk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E6F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4899;top:2200;height:468;width:729;" fillcolor="#FFFFFF" filled="t" stroked="f" coordsize="21600,21600" o:gfxdata="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p5Q7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pPr>
                          <w:spacing w:line="240" w:lineRule="auto"/>
                          <w:ind w:firstLine="0" w:firstLineChars="0"/>
                          <w:rPr>
                            <w:rFonts w:hint="eastAsia"/>
                            <w:sz w:val="21"/>
                            <w:szCs w:val="21"/>
                          </w:rPr>
                        </w:pPr>
                        <w:r>
                          <w:rPr>
                            <w:rFonts w:hint="eastAsia"/>
                            <w:sz w:val="21"/>
                            <w:szCs w:val="21"/>
                          </w:rPr>
                          <w:t>关闭</w:t>
                        </w:r>
                      </w:p>
                    </w:txbxContent>
                  </v:textbox>
                </v:rect>
                <v:group id="_x0000_s1026" o:spid="_x0000_s1026" o:spt="203" style="position:absolute;left:4140;top:2044;height:2918;width:3580;" coordsize="3083,2918"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shape id="_x0000_s1026" o:spid="_x0000_s1026" o:spt="110" type="#_x0000_t110" style="position:absolute;left:998;top:1979;height:939;width:2085;" filled="f" stroked="t" coordsize="21600,21600" o:gfxdata="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BvyG/&#10;AAAA2w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警情判断</w:t>
                          </w:r>
                        </w:p>
                      </w:txbxContent>
                    </v:textbox>
                  </v:shape>
                  <v:line id="_x0000_s1026" o:spid="_x0000_s1026" o:spt="20" style="position:absolute;left:265;top:2447;flip:x;height:0;width:732;" filled="f" stroked="t" coordsize="21600,21600" o:gfxdata="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9mI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rect id="_x0000_s1026" o:spid="_x0000_s1026" o:spt="1" style="position:absolute;left:0;top:0;height:419;width:750;" filled="f" stroked="t" coordsize="21600,21600" o:gfxdata="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Dit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spacing w:line="240" w:lineRule="auto"/>
                            <w:ind w:firstLine="0" w:firstLineChars="0"/>
                            <w:rPr>
                              <w:rFonts w:hint="eastAsia"/>
                            </w:rPr>
                          </w:pPr>
                          <w:r>
                            <w:rPr>
                              <w:rFonts w:hint="eastAsia"/>
                            </w:rPr>
                            <w:t>反馈</w:t>
                          </w:r>
                        </w:p>
                      </w:txbxContent>
                    </v:textbox>
                  </v:rect>
                  <v:line id="_x0000_s1026" o:spid="_x0000_s1026" o:spt="20" style="position:absolute;left:751;top:156;height:0;width:530;" filled="f" stroked="t" coordsize="21600,21600" o:gfxdata="UEsDBAoAAAAAAIdO4kAAAAAAAAAAAAAAAAAEAAAAZHJzL1BLAwQUAAAACACHTuJA9fNLwr8AAADb&#10;AAAADwAAAGRycy9kb3ducmV2LnhtbEWPT2vCQBTE7wW/w/KE3uomU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zS8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267;top:419;flip:y;height:2028;width:0;" filled="f" stroked="t" coordsize="21600,21600" o:gfxdata="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5b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v:group>
            </w:pict>
          </mc:Fallback>
        </mc:AlternateContent>
      </w:r>
    </w:p>
    <w:p>
      <w:pPr>
        <w:autoSpaceDE w:val="0"/>
        <w:autoSpaceDN w:val="0"/>
        <w:adjustRightInd w:val="0"/>
        <w:ind w:firstLine="470" w:firstLineChars="196"/>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autoSpaceDE w:val="0"/>
        <w:autoSpaceDN w:val="0"/>
        <w:adjustRightInd w:val="0"/>
        <w:ind w:firstLine="480"/>
        <w:jc w:val="left"/>
        <w:rPr>
          <w:rFonts w:hint="default" w:ascii="Times New Roman" w:hAnsi="Times New Roman" w:cs="Times New Roman"/>
          <w:color w:val="auto"/>
          <w:kern w:val="0"/>
          <w:highlight w:val="none"/>
          <w:u w:val="none"/>
          <w:lang w:val="zh-CN"/>
        </w:rPr>
      </w:pPr>
    </w:p>
    <w:p>
      <w:pPr>
        <w:pStyle w:val="23"/>
        <w:rPr>
          <w:rFonts w:hint="default"/>
        </w:rPr>
      </w:pPr>
      <w:r>
        <w:rPr>
          <w:rFonts w:hint="default"/>
        </w:rPr>
        <w:t>图</w:t>
      </w:r>
      <w:r>
        <w:rPr>
          <w:rFonts w:hint="eastAsia"/>
          <w:lang w:val="en-US" w:eastAsia="zh-CN"/>
        </w:rPr>
        <w:t>6</w:t>
      </w:r>
      <w:r>
        <w:rPr>
          <w:rFonts w:hint="default"/>
        </w:rPr>
        <w:t>.2-1   应急响应程序</w:t>
      </w:r>
    </w:p>
    <w:p>
      <w:pPr>
        <w:pStyle w:val="20"/>
        <w:rPr>
          <w:rFonts w:hint="default"/>
        </w:rPr>
      </w:pPr>
      <w:bookmarkStart w:id="346" w:name="_Toc4765_WPSOffice_Level1"/>
      <w:bookmarkStart w:id="347" w:name="_Toc16812"/>
      <w:bookmarkStart w:id="348" w:name="_Toc13724"/>
      <w:bookmarkStart w:id="349" w:name="_Toc916"/>
      <w:r>
        <w:rPr>
          <w:rFonts w:hint="eastAsia"/>
          <w:lang w:val="en-US" w:eastAsia="zh-CN"/>
        </w:rPr>
        <w:t>6.3</w:t>
      </w:r>
      <w:r>
        <w:rPr>
          <w:rFonts w:hint="default"/>
          <w:lang w:eastAsia="zh-CN"/>
        </w:rPr>
        <w:t>响应分级</w:t>
      </w:r>
      <w:bookmarkEnd w:id="346"/>
      <w:bookmarkEnd w:id="347"/>
      <w:bookmarkEnd w:id="348"/>
      <w:bookmarkEnd w:id="349"/>
    </w:p>
    <w:p>
      <w:pPr>
        <w:pStyle w:val="14"/>
        <w:rPr>
          <w:rFonts w:hint="default"/>
        </w:rPr>
      </w:pPr>
      <w:r>
        <w:rPr>
          <w:rFonts w:hint="default"/>
        </w:rPr>
        <w:t>按</w:t>
      </w:r>
      <w:r>
        <w:rPr>
          <w:rFonts w:hint="eastAsia"/>
          <w:lang w:eastAsia="zh-CN"/>
        </w:rPr>
        <w:t>污水处理厂</w:t>
      </w:r>
      <w:r>
        <w:rPr>
          <w:rFonts w:hint="default"/>
        </w:rPr>
        <w:t>突发环境事件的可控性、严重程度和影响范围，将</w:t>
      </w:r>
      <w:r>
        <w:rPr>
          <w:rFonts w:hint="eastAsia"/>
          <w:lang w:eastAsia="zh-CN"/>
        </w:rPr>
        <w:t>污水处理厂</w:t>
      </w:r>
      <w:r>
        <w:rPr>
          <w:rFonts w:hint="default"/>
        </w:rPr>
        <w:t>突发环境事件的应急响应分三级，响应级别由低到高分别为Ⅲ级（</w:t>
      </w:r>
      <w:r>
        <w:rPr>
          <w:rFonts w:hint="eastAsia"/>
          <w:lang w:val="en-US" w:eastAsia="zh-CN"/>
        </w:rPr>
        <w:t>车间</w:t>
      </w:r>
      <w:r>
        <w:rPr>
          <w:rFonts w:hint="default"/>
          <w:lang w:val="en-US" w:eastAsia="zh-CN"/>
        </w:rPr>
        <w:t>级</w:t>
      </w:r>
      <w:r>
        <w:rPr>
          <w:rFonts w:hint="default"/>
        </w:rPr>
        <w:t>）响应、Ⅱ级（厂区级）和Ⅰ级（</w:t>
      </w:r>
      <w:r>
        <w:rPr>
          <w:rFonts w:hint="default"/>
          <w:lang w:val="en-US" w:eastAsia="zh-CN"/>
        </w:rPr>
        <w:t>区域级</w:t>
      </w:r>
      <w:r>
        <w:rPr>
          <w:rFonts w:hint="default"/>
        </w:rPr>
        <w:t>）响应。不同突发环境事故应急响应分级表见表</w:t>
      </w:r>
      <w:r>
        <w:rPr>
          <w:rFonts w:hint="eastAsia"/>
          <w:lang w:val="en-US" w:eastAsia="zh-CN"/>
        </w:rPr>
        <w:t>7</w:t>
      </w:r>
      <w:r>
        <w:rPr>
          <w:rFonts w:hint="default"/>
        </w:rPr>
        <w:t>.3-1。</w:t>
      </w:r>
    </w:p>
    <w:p>
      <w:pPr>
        <w:pStyle w:val="14"/>
        <w:rPr>
          <w:rFonts w:hint="default"/>
        </w:rPr>
      </w:pPr>
      <w:r>
        <w:rPr>
          <w:rFonts w:hint="default"/>
        </w:rPr>
        <w:t>响应基本程序为事故发现人员，及时逐级上报，</w:t>
      </w:r>
      <w:r>
        <w:rPr>
          <w:rFonts w:hint="eastAsia"/>
          <w:lang w:eastAsia="zh-CN"/>
        </w:rPr>
        <w:t>赣州市经开区环境保护局</w:t>
      </w:r>
      <w:r>
        <w:rPr>
          <w:rFonts w:hint="default"/>
        </w:rPr>
        <w:t>相关领导和政府部门负责指挥协调应急抢险工作，并启动响应预案。</w:t>
      </w:r>
    </w:p>
    <w:p>
      <w:pPr>
        <w:pStyle w:val="14"/>
        <w:rPr>
          <w:rFonts w:hint="default"/>
        </w:rPr>
      </w:pPr>
      <w:r>
        <w:rPr>
          <w:rFonts w:hint="default"/>
        </w:rPr>
        <w:t>Ⅲ级响应：可完全依靠单位或所在部门的应急力量处置。</w:t>
      </w:r>
    </w:p>
    <w:p>
      <w:pPr>
        <w:pStyle w:val="14"/>
        <w:rPr>
          <w:rFonts w:hint="default"/>
        </w:rPr>
      </w:pPr>
      <w:r>
        <w:rPr>
          <w:rFonts w:hint="default"/>
        </w:rPr>
        <w:t>Ⅱ级响应：需要调度单位专业应急队伍进行应急处置；必要时向外部应急救援力量请求援助。</w:t>
      </w:r>
    </w:p>
    <w:p>
      <w:pPr>
        <w:pStyle w:val="14"/>
        <w:rPr>
          <w:rFonts w:hint="default"/>
        </w:rPr>
      </w:pPr>
      <w:r>
        <w:rPr>
          <w:rFonts w:hint="default"/>
        </w:rPr>
        <w:fldChar w:fldCharType="begin"/>
      </w:r>
      <w:r>
        <w:rPr>
          <w:rFonts w:hint="default"/>
        </w:rPr>
        <w:instrText xml:space="preserve"> = 1 \* ROMAN \* MERGEFORMAT </w:instrText>
      </w:r>
      <w:r>
        <w:rPr>
          <w:rFonts w:hint="default"/>
        </w:rPr>
        <w:fldChar w:fldCharType="separate"/>
      </w:r>
      <w:r>
        <w:rPr>
          <w:rFonts w:hint="default"/>
        </w:rPr>
        <w:t>I</w:t>
      </w:r>
      <w:r>
        <w:rPr>
          <w:rFonts w:hint="default"/>
        </w:rPr>
        <w:fldChar w:fldCharType="end"/>
      </w:r>
      <w:r>
        <w:rPr>
          <w:rFonts w:hint="default"/>
        </w:rPr>
        <w:t>级响应：企业须在第一时间内向政府有关部门、上级管理部门或其他外部应急救援力量报警，请求支援；并根据应急预案或外部的有关指示采取先期应急措施。外部应急救援力量到达现场后，同单位一起处置事件。</w:t>
      </w:r>
    </w:p>
    <w:p>
      <w:pPr>
        <w:pStyle w:val="16"/>
        <w:rPr>
          <w:rFonts w:hint="default"/>
        </w:rPr>
      </w:pPr>
      <w:r>
        <w:rPr>
          <w:rFonts w:hint="default"/>
        </w:rPr>
        <w:t>表</w:t>
      </w:r>
      <w:r>
        <w:rPr>
          <w:rFonts w:hint="eastAsia"/>
          <w:lang w:val="en-US" w:eastAsia="zh-CN"/>
        </w:rPr>
        <w:t>6</w:t>
      </w:r>
      <w:r>
        <w:rPr>
          <w:rFonts w:hint="default"/>
        </w:rPr>
        <w:t>.3-1    事故应急响应分级表</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012"/>
        <w:gridCol w:w="2267"/>
        <w:gridCol w:w="3528"/>
        <w:gridCol w:w="152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397" w:hRule="atLeast"/>
          <w:jc w:val="center"/>
        </w:trPr>
        <w:tc>
          <w:tcPr>
            <w:tcW w:w="1012"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响应分级</w:t>
            </w:r>
          </w:p>
        </w:tc>
        <w:tc>
          <w:tcPr>
            <w:tcW w:w="2267"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突发环境事件</w:t>
            </w:r>
          </w:p>
        </w:tc>
        <w:tc>
          <w:tcPr>
            <w:tcW w:w="352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应急响应</w:t>
            </w:r>
          </w:p>
        </w:tc>
        <w:tc>
          <w:tcPr>
            <w:tcW w:w="1527"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响应人员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397" w:hRule="atLeast"/>
          <w:jc w:val="center"/>
        </w:trPr>
        <w:tc>
          <w:tcPr>
            <w:tcW w:w="1012"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rPr>
              <w:t>Ⅰ</w:t>
            </w:r>
            <w:r>
              <w:rPr>
                <w:rFonts w:hint="default" w:ascii="Times New Roman" w:hAnsi="Times New Roman" w:cs="Times New Roman"/>
                <w:color w:val="auto"/>
                <w:highlight w:val="none"/>
                <w:u w:val="none"/>
                <w:lang w:val="en-US" w:eastAsia="zh-CN"/>
              </w:rPr>
              <w:t>级响应</w:t>
            </w:r>
          </w:p>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（流域级）</w:t>
            </w:r>
          </w:p>
        </w:tc>
        <w:tc>
          <w:tcPr>
            <w:tcW w:w="2267" w:type="dxa"/>
            <w:tcBorders>
              <w:tl2br w:val="nil"/>
              <w:tr2bl w:val="nil"/>
            </w:tcBorders>
            <w:vAlign w:val="center"/>
          </w:tcPr>
          <w:p>
            <w:pPr>
              <w:pStyle w:val="18"/>
              <w:ind w:firstLine="0" w:firstLineChars="0"/>
              <w:rPr>
                <w:rFonts w:hint="default" w:ascii="Times New Roman" w:hAnsi="Times New Roman" w:cs="Times New Roman"/>
                <w:color w:val="auto"/>
                <w:kern w:val="0"/>
                <w:highlight w:val="none"/>
                <w:u w:val="none"/>
                <w:lang w:val="en-US" w:eastAsia="zh-CN"/>
              </w:rPr>
            </w:pPr>
            <w:r>
              <w:rPr>
                <w:rFonts w:hint="default"/>
                <w:lang w:eastAsia="zh-CN"/>
              </w:rPr>
              <w:t>发生大范围火灾、爆炸事故时产生的次生污染，如消防水外泄、浓烟扩散等</w:t>
            </w:r>
          </w:p>
        </w:tc>
        <w:tc>
          <w:tcPr>
            <w:tcW w:w="352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①启动并实施本应急预案，并在第一时</w:t>
            </w:r>
          </w:p>
          <w:p>
            <w:pPr>
              <w:pStyle w:val="29"/>
              <w:jc w:val="center"/>
              <w:rPr>
                <w:rFonts w:hint="default" w:ascii="Times New Roman" w:hAnsi="Times New Roman" w:eastAsia="宋体"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间内向</w:t>
            </w:r>
            <w:r>
              <w:rPr>
                <w:rFonts w:hint="eastAsia" w:cs="Times New Roman"/>
                <w:color w:val="auto"/>
                <w:highlight w:val="none"/>
                <w:u w:val="none"/>
                <w:lang w:val="en-US" w:eastAsia="zh-CN"/>
              </w:rPr>
              <w:t>赣州市经开区</w:t>
            </w:r>
            <w:r>
              <w:rPr>
                <w:rFonts w:hint="default" w:ascii="Times New Roman" w:hAnsi="Times New Roman" w:cs="Times New Roman"/>
                <w:color w:val="auto"/>
                <w:highlight w:val="none"/>
                <w:u w:val="none"/>
                <w:lang w:val="en-US" w:eastAsia="zh-CN"/>
              </w:rPr>
              <w:t>环保局或应急办报告，请求支援，然后由当地政府视事故情况逐级向市、省人民政府或环保局应急办报告；②启动本单位应急指挥机构；③根据应急预案或外部的有关指示，协调组织应急救援力量开展应急救援工作；④外部应急、救援力量到达现场后，同本单位处置事件；⑤及时关闭出水阀，对外排废水进行检测分析</w:t>
            </w:r>
            <w:r>
              <w:rPr>
                <w:rFonts w:hint="eastAsia" w:cs="Times New Roman"/>
                <w:color w:val="auto"/>
                <w:highlight w:val="none"/>
                <w:u w:val="none"/>
                <w:lang w:val="en-US" w:eastAsia="zh-CN"/>
              </w:rPr>
              <w:t>；</w:t>
            </w:r>
          </w:p>
        </w:tc>
        <w:tc>
          <w:tcPr>
            <w:tcW w:w="1527"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赣州</w:t>
            </w:r>
            <w:r>
              <w:rPr>
                <w:rFonts w:hint="default" w:ascii="Times New Roman" w:hAnsi="Times New Roman" w:cs="Times New Roman"/>
                <w:color w:val="auto"/>
                <w:highlight w:val="none"/>
                <w:u w:val="none"/>
                <w:lang w:val="en-US" w:eastAsia="zh-CN"/>
              </w:rPr>
              <w:t>市</w:t>
            </w:r>
            <w:r>
              <w:rPr>
                <w:rFonts w:hint="eastAsia" w:cs="Times New Roman"/>
                <w:color w:val="auto"/>
                <w:highlight w:val="none"/>
                <w:u w:val="none"/>
                <w:lang w:val="en-US" w:eastAsia="zh-CN"/>
              </w:rPr>
              <w:t>生态环境局</w:t>
            </w:r>
            <w:r>
              <w:rPr>
                <w:rFonts w:hint="default" w:ascii="Times New Roman" w:hAnsi="Times New Roman" w:cs="Times New Roman"/>
                <w:color w:val="auto"/>
                <w:highlight w:val="none"/>
                <w:u w:val="none"/>
                <w:lang w:val="en-US" w:eastAsia="zh-CN"/>
              </w:rPr>
              <w:t>和应急救援力量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397" w:hRule="atLeast"/>
          <w:jc w:val="center"/>
        </w:trPr>
        <w:tc>
          <w:tcPr>
            <w:tcW w:w="1012"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rPr>
              <w:t>Ⅱ</w:t>
            </w:r>
            <w:r>
              <w:rPr>
                <w:rFonts w:hint="default" w:ascii="Times New Roman" w:hAnsi="Times New Roman" w:cs="Times New Roman"/>
                <w:color w:val="auto"/>
                <w:highlight w:val="none"/>
                <w:u w:val="none"/>
                <w:lang w:val="en-US" w:eastAsia="zh-CN"/>
              </w:rPr>
              <w:t>级响应</w:t>
            </w:r>
          </w:p>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（厂区级）</w:t>
            </w:r>
          </w:p>
        </w:tc>
        <w:tc>
          <w:tcPr>
            <w:tcW w:w="2267" w:type="dxa"/>
            <w:tcBorders>
              <w:tl2br w:val="nil"/>
              <w:tr2bl w:val="nil"/>
            </w:tcBorders>
            <w:vAlign w:val="center"/>
          </w:tcPr>
          <w:p>
            <w:pPr>
              <w:pStyle w:val="18"/>
              <w:ind w:firstLine="0" w:firstLineChars="0"/>
              <w:rPr>
                <w:rFonts w:hint="default" w:ascii="Times New Roman" w:hAnsi="Times New Roman" w:eastAsia="宋体" w:cs="Times New Roman"/>
                <w:color w:val="auto"/>
                <w:kern w:val="0"/>
                <w:highlight w:val="none"/>
                <w:u w:val="none"/>
                <w:lang w:eastAsia="zh-CN"/>
              </w:rPr>
            </w:pPr>
            <w:r>
              <w:rPr>
                <w:rFonts w:hint="default"/>
                <w:lang w:val="en-US" w:eastAsia="zh-CN"/>
              </w:rPr>
              <w:t>厂区内污水处理站发生故障时，废水不能得到处理，若直接排入</w:t>
            </w:r>
            <w:r>
              <w:rPr>
                <w:rFonts w:hint="eastAsia"/>
                <w:lang w:val="en-US" w:eastAsia="zh-CN"/>
              </w:rPr>
              <w:t>赣江</w:t>
            </w:r>
            <w:r>
              <w:rPr>
                <w:rFonts w:hint="default"/>
                <w:lang w:val="en-US" w:eastAsia="zh-CN"/>
              </w:rPr>
              <w:t>，会对污水处理厂造成一定影响</w:t>
            </w:r>
          </w:p>
        </w:tc>
        <w:tc>
          <w:tcPr>
            <w:tcW w:w="352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①启动并实施本单位应急预案，并在第</w:t>
            </w:r>
          </w:p>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一时间内向</w:t>
            </w:r>
            <w:r>
              <w:rPr>
                <w:rFonts w:hint="eastAsia" w:cs="Times New Roman"/>
                <w:color w:val="auto"/>
                <w:highlight w:val="none"/>
                <w:u w:val="none"/>
                <w:lang w:val="en-US" w:eastAsia="zh-CN"/>
              </w:rPr>
              <w:t>赣州市经开区</w:t>
            </w:r>
            <w:r>
              <w:rPr>
                <w:rFonts w:hint="default" w:ascii="Times New Roman" w:hAnsi="Times New Roman" w:cs="Times New Roman"/>
                <w:color w:val="auto"/>
                <w:highlight w:val="none"/>
                <w:u w:val="none"/>
                <w:lang w:val="en-US" w:eastAsia="zh-CN"/>
              </w:rPr>
              <w:t>环保局应急办报告；②启动本单位应急指挥机构；③协调组织应急救援力量开展应急救援工作；④需要其他应急救援力量支援时，向区、市人民政府应急办提出请求。</w:t>
            </w:r>
          </w:p>
        </w:tc>
        <w:tc>
          <w:tcPr>
            <w:tcW w:w="1527"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赣州市经开区环境保护局</w:t>
            </w:r>
            <w:r>
              <w:rPr>
                <w:rFonts w:hint="default" w:ascii="Times New Roman" w:hAnsi="Times New Roman" w:cs="Times New Roman"/>
                <w:color w:val="auto"/>
                <w:highlight w:val="none"/>
                <w:u w:val="none"/>
                <w:lang w:val="en-US" w:eastAsia="zh-CN"/>
              </w:rPr>
              <w:t>一线关键人员、安全环保员、各职能部门负责人及</w:t>
            </w:r>
            <w:r>
              <w:rPr>
                <w:rFonts w:hint="eastAsia" w:cs="Times New Roman"/>
                <w:color w:val="auto"/>
                <w:highlight w:val="none"/>
                <w:u w:val="none"/>
                <w:lang w:val="en-US" w:eastAsia="zh-CN"/>
              </w:rPr>
              <w:t>赣州市经开区</w:t>
            </w:r>
            <w:r>
              <w:rPr>
                <w:rFonts w:hint="default" w:ascii="Times New Roman" w:hAnsi="Times New Roman" w:cs="Times New Roman"/>
                <w:color w:val="auto"/>
                <w:highlight w:val="none"/>
                <w:u w:val="none"/>
                <w:lang w:val="en-US" w:eastAsia="zh-CN"/>
              </w:rPr>
              <w:t>污水厂全体人员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397" w:hRule="atLeast"/>
          <w:jc w:val="center"/>
        </w:trPr>
        <w:tc>
          <w:tcPr>
            <w:tcW w:w="1012"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rPr>
              <w:t>Ⅲ</w:t>
            </w:r>
            <w:r>
              <w:rPr>
                <w:rFonts w:hint="default" w:ascii="Times New Roman" w:hAnsi="Times New Roman" w:cs="Times New Roman"/>
                <w:color w:val="auto"/>
                <w:highlight w:val="none"/>
                <w:u w:val="none"/>
                <w:lang w:val="en-US" w:eastAsia="zh-CN"/>
              </w:rPr>
              <w:t>级响应</w:t>
            </w:r>
          </w:p>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（车间级）</w:t>
            </w:r>
          </w:p>
        </w:tc>
        <w:tc>
          <w:tcPr>
            <w:tcW w:w="2267" w:type="dxa"/>
            <w:tcBorders>
              <w:tl2br w:val="nil"/>
              <w:tr2bl w:val="nil"/>
            </w:tcBorders>
            <w:vAlign w:val="center"/>
          </w:tcPr>
          <w:p>
            <w:pPr>
              <w:pStyle w:val="18"/>
              <w:rPr>
                <w:rFonts w:hint="default"/>
                <w:lang w:eastAsia="zh-CN"/>
              </w:rPr>
            </w:pPr>
            <w:r>
              <w:rPr>
                <w:rFonts w:hint="default"/>
                <w:lang w:eastAsia="zh-CN"/>
              </w:rPr>
              <w:t>①机修仓库油品泄漏；</w:t>
            </w:r>
          </w:p>
          <w:p>
            <w:pPr>
              <w:pStyle w:val="18"/>
              <w:rPr>
                <w:rFonts w:hint="default"/>
                <w:lang w:eastAsia="zh-CN"/>
              </w:rPr>
            </w:pPr>
            <w:r>
              <w:rPr>
                <w:rFonts w:hint="default"/>
                <w:lang w:eastAsia="zh-CN"/>
              </w:rPr>
              <w:t>②PAM溶液泄漏；</w:t>
            </w:r>
          </w:p>
          <w:p>
            <w:pPr>
              <w:pStyle w:val="18"/>
              <w:ind w:firstLine="0" w:firstLineChars="0"/>
              <w:rPr>
                <w:rFonts w:hint="eastAsia" w:ascii="Times New Roman" w:hAnsi="Times New Roman" w:eastAsia="宋体" w:cs="Times New Roman"/>
                <w:color w:val="auto"/>
                <w:highlight w:val="none"/>
                <w:u w:val="none"/>
                <w:lang w:eastAsia="zh-CN"/>
              </w:rPr>
            </w:pPr>
            <w:r>
              <w:rPr>
                <w:rFonts w:hint="default"/>
                <w:lang w:eastAsia="zh-CN"/>
              </w:rPr>
              <w:t>③</w:t>
            </w:r>
            <w:r>
              <w:rPr>
                <w:rFonts w:hint="default"/>
                <w:lang w:val="en-US" w:eastAsia="zh-CN"/>
              </w:rPr>
              <w:t>PAC</w:t>
            </w:r>
            <w:r>
              <w:rPr>
                <w:rFonts w:hint="default"/>
                <w:lang w:eastAsia="zh-CN"/>
              </w:rPr>
              <w:t>溶液泄漏；</w:t>
            </w:r>
          </w:p>
        </w:tc>
        <w:tc>
          <w:tcPr>
            <w:tcW w:w="3528"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①启动并实施本单位应急预案，必要时</w:t>
            </w:r>
          </w:p>
          <w:p>
            <w:pPr>
              <w:pStyle w:val="29"/>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向赣州市经开区应急指挥部或环保局报告；②启动本</w:t>
            </w:r>
            <w:r>
              <w:rPr>
                <w:rFonts w:hint="eastAsia" w:cs="Times New Roman"/>
                <w:color w:val="auto"/>
                <w:highlight w:val="none"/>
                <w:u w:val="none"/>
                <w:lang w:val="en-US" w:eastAsia="zh-CN"/>
              </w:rPr>
              <w:t>厂</w:t>
            </w:r>
            <w:r>
              <w:rPr>
                <w:rFonts w:hint="default" w:ascii="Times New Roman" w:hAnsi="Times New Roman" w:cs="Times New Roman"/>
                <w:color w:val="auto"/>
                <w:highlight w:val="none"/>
                <w:u w:val="none"/>
                <w:lang w:val="en-US" w:eastAsia="zh-CN"/>
              </w:rPr>
              <w:t>应急指挥机构；③协调组织应急救援力量开展应急救援工作</w:t>
            </w:r>
          </w:p>
        </w:tc>
        <w:tc>
          <w:tcPr>
            <w:tcW w:w="1527" w:type="dxa"/>
            <w:tcBorders>
              <w:tl2br w:val="nil"/>
              <w:tr2bl w:val="nil"/>
            </w:tcBorders>
            <w:vAlign w:val="center"/>
          </w:tcPr>
          <w:p>
            <w:pPr>
              <w:pStyle w:val="29"/>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赣州市经开区</w:t>
            </w:r>
            <w:r>
              <w:rPr>
                <w:rFonts w:hint="default" w:ascii="Times New Roman" w:hAnsi="Times New Roman" w:cs="Times New Roman"/>
                <w:color w:val="auto"/>
                <w:highlight w:val="none"/>
                <w:u w:val="none"/>
                <w:lang w:val="en-US" w:eastAsia="zh-CN"/>
              </w:rPr>
              <w:t>污水厂一线关键人员、安全环保员、部门负责人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397" w:hRule="atLeast"/>
          <w:jc w:val="center"/>
        </w:trPr>
        <w:tc>
          <w:tcPr>
            <w:tcW w:w="8334" w:type="dxa"/>
            <w:gridSpan w:val="4"/>
            <w:tcBorders>
              <w:tl2br w:val="nil"/>
              <w:tr2bl w:val="nil"/>
            </w:tcBorders>
            <w:vAlign w:val="center"/>
          </w:tcPr>
          <w:p>
            <w:pPr>
              <w:pStyle w:val="29"/>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备注：应急响应分级原则按照本表执行，根据事态发展，一旦事故超出本级应急处置能力时，应及时请求上一级应急响应或向上级政府部门请求支援。</w:t>
            </w:r>
          </w:p>
        </w:tc>
      </w:tr>
    </w:tbl>
    <w:p>
      <w:pPr>
        <w:pStyle w:val="14"/>
        <w:rPr>
          <w:rFonts w:hint="default"/>
        </w:rPr>
      </w:pPr>
      <w:r>
        <w:rPr>
          <w:rFonts w:hint="default"/>
        </w:rPr>
        <w:t>当事故发生时，应急指挥部根据事故的严重程度判断响应级别，按照相应级别分别采取应急处置措施，当在事故处置过程中，应急领导部发现事故不能控制时，企业必须及时扩大应急响应级别，采取更高级别的应急响应措施。</w:t>
      </w:r>
    </w:p>
    <w:p>
      <w:pPr>
        <w:pStyle w:val="14"/>
        <w:rPr>
          <w:rFonts w:hint="default"/>
        </w:rPr>
      </w:pPr>
      <w:r>
        <w:rPr>
          <w:rFonts w:hint="default"/>
        </w:rPr>
        <w:t>发生下列事故，启动上一级的事故应急救援预案：</w:t>
      </w:r>
    </w:p>
    <w:p>
      <w:pPr>
        <w:pStyle w:val="14"/>
        <w:rPr>
          <w:rFonts w:hint="default"/>
        </w:rPr>
      </w:pPr>
      <w:r>
        <w:rPr>
          <w:rFonts w:hint="default"/>
        </w:rPr>
        <w:t>①突发事故，企业自身力量一时无法控制的。</w:t>
      </w:r>
    </w:p>
    <w:p>
      <w:pPr>
        <w:pStyle w:val="14"/>
        <w:rPr>
          <w:rFonts w:hint="default"/>
        </w:rPr>
      </w:pPr>
      <w:r>
        <w:rPr>
          <w:rFonts w:hint="default"/>
        </w:rPr>
        <w:t>②事故应急处置过程中，现场情况恶化，事态无法得到有效控制的。</w:t>
      </w:r>
    </w:p>
    <w:p>
      <w:pPr>
        <w:pStyle w:val="14"/>
        <w:rPr>
          <w:rFonts w:hint="default"/>
        </w:rPr>
      </w:pPr>
      <w:r>
        <w:rPr>
          <w:rFonts w:hint="default"/>
        </w:rPr>
        <w:t>③事故应急处置过程中，</w:t>
      </w:r>
      <w:r>
        <w:rPr>
          <w:rFonts w:hint="eastAsia"/>
          <w:lang w:eastAsia="zh-CN"/>
        </w:rPr>
        <w:t>污水处理厂</w:t>
      </w:r>
      <w:r>
        <w:rPr>
          <w:rFonts w:hint="default"/>
        </w:rPr>
        <w:t>应急处置力量、资源不足的。</w:t>
      </w:r>
    </w:p>
    <w:p>
      <w:pPr>
        <w:pStyle w:val="14"/>
        <w:rPr>
          <w:rFonts w:hint="default"/>
        </w:rPr>
      </w:pPr>
      <w:r>
        <w:rPr>
          <w:rFonts w:hint="default"/>
        </w:rPr>
        <w:t>④上级机关认定的其它重（特）大突发环境污染事件。</w:t>
      </w:r>
    </w:p>
    <w:p>
      <w:pPr>
        <w:pStyle w:val="14"/>
        <w:rPr>
          <w:rFonts w:hint="default"/>
        </w:rPr>
      </w:pPr>
      <w:r>
        <w:rPr>
          <w:rFonts w:hint="default"/>
        </w:rPr>
        <w:t>⑤其它涉及面广、影响范围大、污染物泄漏量多，企业应急救援不能有效控制的重（特）大突发环境污染事故或事件。</w:t>
      </w:r>
    </w:p>
    <w:p>
      <w:pPr>
        <w:pStyle w:val="20"/>
        <w:rPr>
          <w:rFonts w:hint="default"/>
        </w:rPr>
      </w:pPr>
      <w:bookmarkStart w:id="350" w:name="_Toc14958_WPSOffice_Level1"/>
      <w:bookmarkStart w:id="351" w:name="_Toc8294"/>
      <w:bookmarkStart w:id="352" w:name="_Toc5799"/>
      <w:bookmarkStart w:id="353" w:name="_Toc29697"/>
      <w:r>
        <w:rPr>
          <w:rFonts w:hint="eastAsia"/>
          <w:lang w:val="en-US" w:eastAsia="zh-CN"/>
        </w:rPr>
        <w:t>6.4</w:t>
      </w:r>
      <w:r>
        <w:rPr>
          <w:rFonts w:hint="default"/>
        </w:rPr>
        <w:t>现场处置措施</w:t>
      </w:r>
      <w:bookmarkEnd w:id="350"/>
      <w:bookmarkEnd w:id="351"/>
      <w:bookmarkEnd w:id="352"/>
      <w:bookmarkEnd w:id="353"/>
    </w:p>
    <w:p>
      <w:pPr>
        <w:pStyle w:val="14"/>
        <w:rPr>
          <w:rFonts w:hint="default"/>
        </w:rPr>
      </w:pPr>
      <w:r>
        <w:rPr>
          <w:rFonts w:hint="default"/>
        </w:rPr>
        <w:t>突发环境事件一旦发生，企业应立即展开相应的应急处置。现场应急处置措施和应急监测方案可参见表</w:t>
      </w:r>
      <w:r>
        <w:rPr>
          <w:rFonts w:hint="eastAsia"/>
          <w:lang w:val="en-US" w:eastAsia="zh-CN"/>
        </w:rPr>
        <w:t>6</w:t>
      </w:r>
      <w:r>
        <w:rPr>
          <w:rFonts w:hint="default"/>
        </w:rPr>
        <w:t>.</w:t>
      </w:r>
      <w:r>
        <w:rPr>
          <w:rFonts w:hint="default"/>
          <w:lang w:val="en-US" w:eastAsia="zh-CN"/>
        </w:rPr>
        <w:t>4</w:t>
      </w:r>
      <w:r>
        <w:rPr>
          <w:rFonts w:hint="default"/>
        </w:rPr>
        <w:t>-1~表</w:t>
      </w:r>
      <w:r>
        <w:rPr>
          <w:rFonts w:hint="eastAsia"/>
          <w:lang w:val="en-US" w:eastAsia="zh-CN"/>
        </w:rPr>
        <w:t>6</w:t>
      </w:r>
      <w:r>
        <w:rPr>
          <w:rFonts w:hint="default"/>
        </w:rPr>
        <w:t>.</w:t>
      </w:r>
      <w:r>
        <w:rPr>
          <w:rFonts w:hint="default"/>
          <w:lang w:val="en-US" w:eastAsia="zh-CN"/>
        </w:rPr>
        <w:t>4</w:t>
      </w:r>
      <w:r>
        <w:rPr>
          <w:rFonts w:hint="default"/>
        </w:rPr>
        <w:t>-</w:t>
      </w:r>
      <w:r>
        <w:rPr>
          <w:rFonts w:hint="default"/>
          <w:lang w:val="en-US" w:eastAsia="zh-CN"/>
        </w:rPr>
        <w:t>4</w:t>
      </w:r>
      <w:r>
        <w:rPr>
          <w:rFonts w:hint="default"/>
        </w:rPr>
        <w:t>。</w:t>
      </w:r>
    </w:p>
    <w:p>
      <w:pPr>
        <w:pStyle w:val="16"/>
        <w:rPr>
          <w:rFonts w:hint="default"/>
        </w:rPr>
      </w:pPr>
      <w:r>
        <w:rPr>
          <w:rFonts w:hint="default"/>
        </w:rPr>
        <w:t>表</w:t>
      </w:r>
      <w:r>
        <w:rPr>
          <w:rFonts w:hint="eastAsia"/>
          <w:lang w:val="en-US" w:eastAsia="zh-CN"/>
        </w:rPr>
        <w:t>6</w:t>
      </w:r>
      <w:r>
        <w:rPr>
          <w:rFonts w:hint="default"/>
        </w:rPr>
        <w:t>.</w:t>
      </w:r>
      <w:r>
        <w:rPr>
          <w:rFonts w:hint="default"/>
          <w:lang w:val="en-US" w:eastAsia="zh-CN"/>
        </w:rPr>
        <w:t>4</w:t>
      </w:r>
      <w:r>
        <w:rPr>
          <w:rFonts w:hint="default"/>
        </w:rPr>
        <w:t>-1   尾水超标排放突发环境事件</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697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363" w:type="dxa"/>
            <w:tcBorders>
              <w:tl2br w:val="nil"/>
              <w:tr2bl w:val="nil"/>
            </w:tcBorders>
            <w:vAlign w:val="center"/>
          </w:tcPr>
          <w:p>
            <w:pPr>
              <w:pStyle w:val="18"/>
              <w:rPr>
                <w:rFonts w:hint="default"/>
              </w:rPr>
            </w:pPr>
            <w:r>
              <w:rPr>
                <w:rFonts w:hint="default"/>
              </w:rPr>
              <w:t>事故特征</w:t>
            </w:r>
          </w:p>
        </w:tc>
        <w:tc>
          <w:tcPr>
            <w:tcW w:w="6971" w:type="dxa"/>
            <w:tcBorders>
              <w:tl2br w:val="nil"/>
              <w:tr2bl w:val="nil"/>
            </w:tcBorders>
            <w:vAlign w:val="center"/>
          </w:tcPr>
          <w:p>
            <w:pPr>
              <w:pStyle w:val="18"/>
              <w:rPr>
                <w:rFonts w:hint="default"/>
                <w:lang w:val="zh-CN"/>
              </w:rPr>
            </w:pPr>
            <w:r>
              <w:rPr>
                <w:rFonts w:hint="default"/>
              </w:rPr>
              <w:t>污水处理系统出现故障、停电或其他原因，导致尾水排放异常，对</w:t>
            </w:r>
            <w:r>
              <w:rPr>
                <w:rFonts w:hint="eastAsia"/>
                <w:lang w:val="en-US" w:eastAsia="zh-CN"/>
              </w:rPr>
              <w:t>赣江</w:t>
            </w:r>
            <w:r>
              <w:rPr>
                <w:rFonts w:hint="default"/>
                <w:lang w:val="en-US" w:eastAsia="zh-CN"/>
              </w:rPr>
              <w:t>水质</w:t>
            </w:r>
            <w:r>
              <w:rPr>
                <w:rFonts w:hint="default"/>
              </w:rPr>
              <w:t>造成影响</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363" w:type="dxa"/>
            <w:tcBorders>
              <w:tl2br w:val="nil"/>
              <w:tr2bl w:val="nil"/>
            </w:tcBorders>
            <w:vAlign w:val="center"/>
          </w:tcPr>
          <w:p>
            <w:pPr>
              <w:pStyle w:val="18"/>
              <w:rPr>
                <w:rFonts w:hint="default"/>
              </w:rPr>
            </w:pPr>
            <w:r>
              <w:rPr>
                <w:rFonts w:hint="default"/>
              </w:rPr>
              <w:t>应急预警与相应程序</w:t>
            </w:r>
          </w:p>
        </w:tc>
        <w:tc>
          <w:tcPr>
            <w:tcW w:w="6971" w:type="dxa"/>
            <w:tcBorders>
              <w:tl2br w:val="nil"/>
              <w:tr2bl w:val="nil"/>
            </w:tcBorders>
            <w:vAlign w:val="center"/>
          </w:tcPr>
          <w:p>
            <w:pPr>
              <w:pStyle w:val="18"/>
              <w:rPr>
                <w:rFonts w:hint="default"/>
              </w:rPr>
            </w:pPr>
            <w:r>
              <w:rPr>
                <w:rFonts w:hint="default"/>
              </w:rPr>
              <w:t>启动 I 级响应程序。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363" w:type="dxa"/>
            <w:tcBorders>
              <w:tl2br w:val="nil"/>
              <w:tr2bl w:val="nil"/>
            </w:tcBorders>
            <w:vAlign w:val="center"/>
          </w:tcPr>
          <w:p>
            <w:pPr>
              <w:pStyle w:val="18"/>
              <w:rPr>
                <w:rFonts w:hint="default"/>
              </w:rPr>
            </w:pPr>
            <w:r>
              <w:rPr>
                <w:rFonts w:hint="default"/>
              </w:rPr>
              <w:t>应急报告</w:t>
            </w:r>
          </w:p>
        </w:tc>
        <w:tc>
          <w:tcPr>
            <w:tcW w:w="6971" w:type="dxa"/>
            <w:tcBorders>
              <w:tl2br w:val="nil"/>
              <w:tr2bl w:val="nil"/>
            </w:tcBorders>
            <w:vAlign w:val="top"/>
          </w:tcPr>
          <w:p>
            <w:pPr>
              <w:pStyle w:val="18"/>
              <w:rPr>
                <w:rFonts w:hint="default"/>
              </w:rPr>
            </w:pPr>
            <w:r>
              <w:rPr>
                <w:rFonts w:hint="default"/>
              </w:rPr>
              <w:t>报告内容：事故发生时间、地点、性质基本情况等</w:t>
            </w:r>
          </w:p>
          <w:p>
            <w:pPr>
              <w:pStyle w:val="18"/>
              <w:rPr>
                <w:rFonts w:hint="default"/>
                <w:lang w:val="en-US" w:eastAsia="zh-CN"/>
              </w:rPr>
            </w:pPr>
            <w:r>
              <w:rPr>
                <w:rFonts w:hint="default"/>
              </w:rPr>
              <w:t>联系电话：18779106209</w:t>
            </w:r>
          </w:p>
          <w:p>
            <w:pPr>
              <w:pStyle w:val="18"/>
              <w:ind w:firstLine="0" w:firstLineChars="0"/>
              <w:rPr>
                <w:rFonts w:hint="default"/>
                <w:lang w:eastAsia="zh-CN"/>
              </w:rPr>
            </w:pPr>
            <w:r>
              <w:rPr>
                <w:rFonts w:hint="default"/>
              </w:rPr>
              <w:t>报告领导：</w:t>
            </w:r>
            <w:r>
              <w:rPr>
                <w:rFonts w:hint="eastAsia"/>
                <w:lang w:eastAsia="zh-CN"/>
              </w:rPr>
              <w:t>魏跃林</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363" w:type="dxa"/>
            <w:tcBorders>
              <w:tl2br w:val="nil"/>
              <w:tr2bl w:val="nil"/>
            </w:tcBorders>
            <w:vAlign w:val="center"/>
          </w:tcPr>
          <w:p>
            <w:pPr>
              <w:pStyle w:val="18"/>
              <w:rPr>
                <w:rFonts w:hint="default"/>
              </w:rPr>
            </w:pPr>
            <w:r>
              <w:rPr>
                <w:rFonts w:hint="default"/>
              </w:rPr>
              <w:t>应急组织</w:t>
            </w:r>
          </w:p>
        </w:tc>
        <w:tc>
          <w:tcPr>
            <w:tcW w:w="6971" w:type="dxa"/>
            <w:tcBorders>
              <w:tl2br w:val="nil"/>
              <w:tr2bl w:val="nil"/>
            </w:tcBorders>
            <w:vAlign w:val="center"/>
          </w:tcPr>
          <w:p>
            <w:pPr>
              <w:pStyle w:val="18"/>
              <w:ind w:firstLine="0" w:firstLineChars="0"/>
              <w:rPr>
                <w:rFonts w:hint="default"/>
                <w:lang w:val="en-US" w:eastAsia="zh-CN"/>
              </w:rPr>
            </w:pPr>
            <w:r>
              <w:rPr>
                <w:rFonts w:hint="default"/>
              </w:rPr>
              <w:t>组长：</w:t>
            </w:r>
            <w:r>
              <w:rPr>
                <w:rFonts w:hint="eastAsia"/>
                <w:lang w:eastAsia="zh-CN"/>
              </w:rPr>
              <w:t>魏跃林</w:t>
            </w:r>
            <w:r>
              <w:rPr>
                <w:rFonts w:hint="default"/>
              </w:rPr>
              <w:t>　　成员：</w:t>
            </w:r>
            <w:r>
              <w:rPr>
                <w:rFonts w:hint="eastAsia"/>
                <w:lang w:eastAsia="zh-CN"/>
              </w:rPr>
              <w:t>温慧新、</w:t>
            </w:r>
            <w:r>
              <w:rPr>
                <w:rFonts w:hint="default"/>
                <w:lang w:val="en-US" w:eastAsia="zh-CN"/>
              </w:rPr>
              <w:t>刘昊</w:t>
            </w:r>
            <w:r>
              <w:rPr>
                <w:rFonts w:hint="eastAsia"/>
                <w:lang w:val="en-US" w:eastAsia="zh-CN"/>
              </w:rPr>
              <w:t>、</w:t>
            </w:r>
            <w:r>
              <w:rPr>
                <w:rFonts w:hint="default"/>
                <w:lang w:val="en-US" w:eastAsia="zh-CN"/>
              </w:rPr>
              <w:t>李龙</w:t>
            </w:r>
            <w:r>
              <w:rPr>
                <w:rFonts w:hint="eastAsia"/>
                <w:lang w:val="en-US" w:eastAsia="zh-CN"/>
              </w:rPr>
              <w:t>、刘金林、刘先珍、黄惠凤、陈定华</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363" w:type="dxa"/>
            <w:tcBorders>
              <w:tl2br w:val="nil"/>
              <w:tr2bl w:val="nil"/>
            </w:tcBorders>
            <w:vAlign w:val="center"/>
          </w:tcPr>
          <w:p>
            <w:pPr>
              <w:pStyle w:val="18"/>
              <w:rPr>
                <w:rFonts w:hint="default"/>
              </w:rPr>
            </w:pPr>
            <w:r>
              <w:rPr>
                <w:rFonts w:hint="default"/>
              </w:rPr>
              <w:t>应急物资</w:t>
            </w:r>
          </w:p>
        </w:tc>
        <w:tc>
          <w:tcPr>
            <w:tcW w:w="6971" w:type="dxa"/>
            <w:tcBorders>
              <w:tl2br w:val="nil"/>
              <w:tr2bl w:val="nil"/>
            </w:tcBorders>
            <w:vAlign w:val="center"/>
          </w:tcPr>
          <w:p>
            <w:pPr>
              <w:pStyle w:val="18"/>
              <w:rPr>
                <w:rFonts w:hint="default"/>
              </w:rPr>
            </w:pPr>
            <w:r>
              <w:rPr>
                <w:rFonts w:hint="default"/>
              </w:rPr>
              <w:t>雨衣、雨靴、抢修车、救生衣、检修工具等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363" w:type="dxa"/>
            <w:tcBorders>
              <w:tl2br w:val="nil"/>
              <w:tr2bl w:val="nil"/>
            </w:tcBorders>
            <w:vAlign w:val="center"/>
          </w:tcPr>
          <w:p>
            <w:pPr>
              <w:pStyle w:val="18"/>
              <w:rPr>
                <w:rFonts w:hint="default"/>
              </w:rPr>
            </w:pPr>
            <w:r>
              <w:rPr>
                <w:rFonts w:hint="default"/>
              </w:rPr>
              <w:t>疏散与撤离</w:t>
            </w:r>
          </w:p>
        </w:tc>
        <w:tc>
          <w:tcPr>
            <w:tcW w:w="6971" w:type="dxa"/>
            <w:tcBorders>
              <w:tl2br w:val="nil"/>
              <w:tr2bl w:val="nil"/>
            </w:tcBorders>
            <w:vAlign w:val="center"/>
          </w:tcPr>
          <w:p>
            <w:pPr>
              <w:pStyle w:val="18"/>
              <w:rPr>
                <w:rFonts w:hint="default"/>
              </w:rPr>
            </w:pPr>
            <w:r>
              <w:rPr>
                <w:rFonts w:hint="default"/>
              </w:rPr>
              <w:t>不需要撤离</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363" w:type="dxa"/>
            <w:tcBorders>
              <w:tl2br w:val="nil"/>
              <w:tr2bl w:val="nil"/>
            </w:tcBorders>
            <w:vAlign w:val="center"/>
          </w:tcPr>
          <w:p>
            <w:pPr>
              <w:pStyle w:val="18"/>
              <w:rPr>
                <w:rFonts w:hint="default"/>
              </w:rPr>
            </w:pPr>
            <w:r>
              <w:rPr>
                <w:rFonts w:hint="default"/>
              </w:rPr>
              <w:t>应急</w:t>
            </w:r>
          </w:p>
          <w:p>
            <w:pPr>
              <w:pStyle w:val="18"/>
              <w:rPr>
                <w:rFonts w:hint="default"/>
              </w:rPr>
            </w:pPr>
            <w:r>
              <w:rPr>
                <w:rFonts w:hint="default"/>
              </w:rPr>
              <w:t>处置</w:t>
            </w:r>
          </w:p>
          <w:p>
            <w:pPr>
              <w:pStyle w:val="18"/>
              <w:rPr>
                <w:rFonts w:hint="default"/>
              </w:rPr>
            </w:pPr>
            <w:r>
              <w:rPr>
                <w:rFonts w:hint="default"/>
              </w:rPr>
              <w:t>措施</w:t>
            </w:r>
          </w:p>
        </w:tc>
        <w:tc>
          <w:tcPr>
            <w:tcW w:w="6971" w:type="dxa"/>
            <w:tcBorders>
              <w:tl2br w:val="nil"/>
              <w:tr2bl w:val="nil"/>
            </w:tcBorders>
            <w:vAlign w:val="top"/>
          </w:tcPr>
          <w:p>
            <w:pPr>
              <w:pStyle w:val="18"/>
              <w:rPr>
                <w:rFonts w:hint="default"/>
              </w:rPr>
            </w:pPr>
            <w:r>
              <w:rPr>
                <w:rFonts w:hint="default"/>
              </w:rPr>
              <w:t>因</w:t>
            </w:r>
            <w:r>
              <w:rPr>
                <w:rFonts w:hint="eastAsia"/>
                <w:lang w:val="en-US" w:eastAsia="zh-CN"/>
              </w:rPr>
              <w:t>赣州经开区污水处理厂</w:t>
            </w:r>
            <w:r>
              <w:rPr>
                <w:rFonts w:hint="default"/>
              </w:rPr>
              <w:t>污水设置了在线监控系统，且与环保部门进行了联网。当污水处理厂出现出水水质超标排放时，应急管理办公室会第一时间发现污水水质超标情况。</w:t>
            </w:r>
          </w:p>
          <w:p>
            <w:pPr>
              <w:pStyle w:val="18"/>
              <w:rPr>
                <w:rFonts w:hint="default"/>
              </w:rPr>
            </w:pPr>
            <w:r>
              <w:rPr>
                <w:rFonts w:hint="default"/>
              </w:rPr>
              <w:t>1、排查污水超标排放的原因，根据超标原因的不同采取相应措施，尽快做到污水达标排放；</w:t>
            </w:r>
          </w:p>
          <w:p>
            <w:pPr>
              <w:pStyle w:val="18"/>
              <w:rPr>
                <w:rFonts w:hint="default"/>
              </w:rPr>
            </w:pPr>
            <w:r>
              <w:rPr>
                <w:rFonts w:hint="default"/>
              </w:rPr>
              <w:t>2、在事故发生后第一时间与</w:t>
            </w:r>
            <w:r>
              <w:rPr>
                <w:rFonts w:hint="eastAsia"/>
                <w:lang w:val="en-US" w:eastAsia="zh-CN"/>
              </w:rPr>
              <w:t>赣州市</w:t>
            </w:r>
            <w:r>
              <w:rPr>
                <w:rFonts w:hint="default"/>
              </w:rPr>
              <w:t>排水管理处、</w:t>
            </w:r>
            <w:r>
              <w:rPr>
                <w:rFonts w:hint="eastAsia"/>
                <w:lang w:val="en-US" w:eastAsia="zh-CN"/>
              </w:rPr>
              <w:t>赣州市经开区</w:t>
            </w:r>
            <w:r>
              <w:rPr>
                <w:rFonts w:hint="default"/>
              </w:rPr>
              <w:t>环境保护局、</w:t>
            </w:r>
            <w:r>
              <w:rPr>
                <w:rFonts w:hint="eastAsia"/>
                <w:lang w:val="en-US" w:eastAsia="zh-CN"/>
              </w:rPr>
              <w:t>赣州市</w:t>
            </w:r>
            <w:r>
              <w:rPr>
                <w:rFonts w:hint="eastAsia"/>
                <w:lang w:eastAsia="zh-CN"/>
              </w:rPr>
              <w:t>生态环境局</w:t>
            </w:r>
            <w:r>
              <w:rPr>
                <w:rFonts w:hint="default"/>
              </w:rPr>
              <w:t>等单位相关部门联系，告知事故情况并递交书面报告。</w:t>
            </w:r>
          </w:p>
          <w:p>
            <w:pPr>
              <w:pStyle w:val="18"/>
              <w:rPr>
                <w:rFonts w:hint="default"/>
              </w:rPr>
            </w:pPr>
            <w:r>
              <w:rPr>
                <w:rFonts w:hint="default"/>
              </w:rPr>
              <w:t>3、如外排污水严重超标，且短时间内无法做到污水达标排放。在向相关行政主管部门汇报后，会同</w:t>
            </w:r>
            <w:r>
              <w:rPr>
                <w:rFonts w:hint="eastAsia"/>
                <w:lang w:eastAsia="zh-CN"/>
              </w:rPr>
              <w:t>园区</w:t>
            </w:r>
            <w:r>
              <w:rPr>
                <w:rFonts w:hint="default"/>
              </w:rPr>
              <w:t>主管部门一起，减少向</w:t>
            </w:r>
            <w:r>
              <w:rPr>
                <w:rFonts w:hint="eastAsia"/>
                <w:lang w:val="en-US" w:eastAsia="zh-CN"/>
              </w:rPr>
              <w:t>赣州经开区污水处理厂</w:t>
            </w:r>
            <w:r>
              <w:rPr>
                <w:rFonts w:hint="default"/>
              </w:rPr>
              <w:t>输送污水。</w:t>
            </w:r>
          </w:p>
          <w:p>
            <w:pPr>
              <w:pStyle w:val="18"/>
              <w:rPr>
                <w:rFonts w:hint="default"/>
              </w:rPr>
            </w:pPr>
            <w:r>
              <w:rPr>
                <w:rFonts w:hint="default"/>
              </w:rPr>
              <w:t>4、事故解除后，尽快实施污水处理厂的正常运行，以减少对外界水环境的影响。</w:t>
            </w:r>
          </w:p>
          <w:p>
            <w:pPr>
              <w:pStyle w:val="18"/>
              <w:rPr>
                <w:rFonts w:hint="default"/>
              </w:rPr>
            </w:pPr>
            <w:r>
              <w:rPr>
                <w:rFonts w:hint="default"/>
              </w:rPr>
              <w:t>导致</w:t>
            </w:r>
            <w:r>
              <w:rPr>
                <w:rFonts w:hint="eastAsia"/>
                <w:lang w:val="en-US" w:eastAsia="zh-CN"/>
              </w:rPr>
              <w:t>赣州市经开区</w:t>
            </w:r>
            <w:r>
              <w:rPr>
                <w:rFonts w:hint="default"/>
              </w:rPr>
              <w:t>污水厂污水超标外排的主要原因及应急措施如下：</w:t>
            </w:r>
          </w:p>
          <w:p>
            <w:pPr>
              <w:pStyle w:val="18"/>
              <w:rPr>
                <w:rFonts w:hint="default"/>
              </w:rPr>
            </w:pPr>
            <w:r>
              <w:rPr>
                <w:rFonts w:hint="default"/>
                <w:lang w:eastAsia="zh-CN"/>
              </w:rPr>
              <w:t>（</w:t>
            </w:r>
            <w:r>
              <w:rPr>
                <w:rFonts w:hint="default"/>
                <w:lang w:val="en-US" w:eastAsia="zh-CN"/>
              </w:rPr>
              <w:t>1</w:t>
            </w:r>
            <w:r>
              <w:rPr>
                <w:rFonts w:hint="default"/>
                <w:lang w:eastAsia="zh-CN"/>
              </w:rPr>
              <w:t>）</w:t>
            </w:r>
            <w:r>
              <w:rPr>
                <w:rFonts w:hint="default"/>
              </w:rPr>
              <w:t>进水水质异常</w:t>
            </w:r>
          </w:p>
          <w:p>
            <w:pPr>
              <w:pStyle w:val="18"/>
              <w:rPr>
                <w:rFonts w:hint="default"/>
                <w:lang w:eastAsia="zh-CN"/>
              </w:rPr>
            </w:pPr>
            <w:r>
              <w:rPr>
                <w:rFonts w:hint="default"/>
              </w:rPr>
              <w:t>主要是根据水质的不达标情况，调整相应的工艺参数（主要是以进水水质的不同污染情况进行工艺调整）。若进水水质异常 ，在其可承受范围内，则根据进水水质的不同情况做如下工艺调整</w:t>
            </w:r>
            <w:r>
              <w:rPr>
                <w:rFonts w:hint="default"/>
                <w:lang w:eastAsia="zh-CN"/>
              </w:rPr>
              <w:t>：</w:t>
            </w:r>
          </w:p>
          <w:p>
            <w:pPr>
              <w:pStyle w:val="18"/>
              <w:rPr>
                <w:rFonts w:hint="default"/>
                <w:lang w:eastAsia="zh-CN"/>
              </w:rPr>
            </w:pPr>
            <w:r>
              <w:rPr>
                <w:rFonts w:hint="default"/>
                <w:lang w:eastAsia="zh-CN"/>
              </w:rPr>
              <w:t>①进水COD浓度持续超过进水标准</w:t>
            </w:r>
          </w:p>
          <w:p>
            <w:pPr>
              <w:pStyle w:val="18"/>
              <w:rPr>
                <w:rFonts w:hint="default"/>
                <w:lang w:eastAsia="zh-CN"/>
              </w:rPr>
            </w:pPr>
            <w:r>
              <w:rPr>
                <w:rFonts w:hint="default"/>
                <w:lang w:eastAsia="zh-CN"/>
              </w:rPr>
              <w:t>a 加大曝气量，并关注污泥浓度、菌胶团情况及沉降性能，判断是否系有毒物质进入；</w:t>
            </w:r>
          </w:p>
          <w:p>
            <w:pPr>
              <w:pStyle w:val="18"/>
              <w:rPr>
                <w:rFonts w:hint="default"/>
                <w:lang w:eastAsia="zh-CN"/>
              </w:rPr>
            </w:pPr>
            <w:r>
              <w:rPr>
                <w:rFonts w:hint="default"/>
                <w:lang w:eastAsia="zh-CN"/>
              </w:rPr>
              <w:t>b 若活性污泥除增长较快无其他异常，则加大出泥量尽可能保证工艺正常；</w:t>
            </w:r>
          </w:p>
          <w:p>
            <w:pPr>
              <w:pStyle w:val="18"/>
              <w:rPr>
                <w:rFonts w:hint="default"/>
                <w:lang w:eastAsia="zh-CN"/>
              </w:rPr>
            </w:pPr>
            <w:r>
              <w:rPr>
                <w:rFonts w:hint="default"/>
                <w:lang w:eastAsia="zh-CN"/>
              </w:rPr>
              <w:t>c 若活性污泥生长障碍，减小进水进水一段时间；</w:t>
            </w:r>
          </w:p>
          <w:p>
            <w:pPr>
              <w:pStyle w:val="18"/>
              <w:rPr>
                <w:rFonts w:hint="default"/>
                <w:lang w:eastAsia="zh-CN"/>
              </w:rPr>
            </w:pPr>
            <w:r>
              <w:rPr>
                <w:rFonts w:hint="default"/>
                <w:lang w:eastAsia="zh-CN"/>
              </w:rPr>
              <w:t>d 若进水带有恶臭或颜色异常，活性污泥出现菌胶团解体、不沉降、微生物活性不好或观察不到微生物等不良反应，有可能是进水中含有有毒物质，必须立刻减少进水并在生物池末端投加</w:t>
            </w:r>
            <w:r>
              <w:rPr>
                <w:rFonts w:hint="default"/>
                <w:lang w:val="en-US" w:eastAsia="zh-CN"/>
              </w:rPr>
              <w:t>响应药剂</w:t>
            </w:r>
            <w:r>
              <w:rPr>
                <w:rFonts w:hint="default"/>
                <w:lang w:eastAsia="zh-CN"/>
              </w:rPr>
              <w:t>（如有需要重新取种驯化培养）</w:t>
            </w:r>
          </w:p>
          <w:p>
            <w:pPr>
              <w:pStyle w:val="18"/>
              <w:rPr>
                <w:rFonts w:hint="default"/>
                <w:lang w:eastAsia="zh-CN"/>
              </w:rPr>
            </w:pPr>
            <w:r>
              <w:rPr>
                <w:rFonts w:hint="default"/>
                <w:lang w:eastAsia="zh-CN"/>
              </w:rPr>
              <w:t>②进水 COD 浓度持续低于进水标准</w:t>
            </w:r>
          </w:p>
          <w:p>
            <w:pPr>
              <w:pStyle w:val="18"/>
              <w:rPr>
                <w:rFonts w:hint="default"/>
                <w:lang w:eastAsia="zh-CN"/>
              </w:rPr>
            </w:pPr>
            <w:r>
              <w:rPr>
                <w:rFonts w:hint="default"/>
                <w:lang w:eastAsia="zh-CN"/>
              </w:rPr>
              <w:t>a 减小曝气量；</w:t>
            </w:r>
          </w:p>
          <w:p>
            <w:pPr>
              <w:pStyle w:val="18"/>
              <w:rPr>
                <w:rFonts w:hint="default"/>
                <w:lang w:eastAsia="zh-CN"/>
              </w:rPr>
            </w:pPr>
            <w:r>
              <w:rPr>
                <w:rFonts w:hint="default"/>
                <w:lang w:eastAsia="zh-CN"/>
              </w:rPr>
              <w:t>b 观察污泥浓度，如增长缓慢或不增长注意调整出泥量；</w:t>
            </w:r>
          </w:p>
          <w:p>
            <w:pPr>
              <w:pStyle w:val="18"/>
              <w:rPr>
                <w:rFonts w:hint="default"/>
                <w:lang w:eastAsia="zh-CN"/>
              </w:rPr>
            </w:pPr>
            <w:r>
              <w:rPr>
                <w:rFonts w:hint="default"/>
                <w:lang w:eastAsia="zh-CN"/>
              </w:rPr>
              <w:t>c 加大活性污泥回流量；</w:t>
            </w:r>
          </w:p>
          <w:p>
            <w:pPr>
              <w:pStyle w:val="18"/>
              <w:rPr>
                <w:rFonts w:hint="default"/>
                <w:lang w:eastAsia="zh-CN"/>
              </w:rPr>
            </w:pPr>
            <w:r>
              <w:rPr>
                <w:rFonts w:hint="default"/>
                <w:lang w:eastAsia="zh-CN"/>
              </w:rPr>
              <w:t>d 必要时投加营养物质，如</w:t>
            </w:r>
            <w:r>
              <w:rPr>
                <w:rFonts w:hint="eastAsia"/>
                <w:lang w:val="en-US" w:eastAsia="zh-CN"/>
              </w:rPr>
              <w:t>面粉等</w:t>
            </w:r>
            <w:r>
              <w:rPr>
                <w:rFonts w:hint="default"/>
                <w:lang w:eastAsia="zh-CN"/>
              </w:rPr>
              <w:t>等。</w:t>
            </w:r>
          </w:p>
          <w:p>
            <w:pPr>
              <w:pStyle w:val="18"/>
              <w:rPr>
                <w:rFonts w:hint="default"/>
                <w:lang w:eastAsia="zh-CN"/>
              </w:rPr>
            </w:pPr>
            <w:r>
              <w:rPr>
                <w:rFonts w:hint="default"/>
                <w:lang w:eastAsia="zh-CN"/>
              </w:rPr>
              <w:t>③进水SS浓度持续超过进水水质标准</w:t>
            </w:r>
          </w:p>
          <w:p>
            <w:pPr>
              <w:pStyle w:val="18"/>
              <w:rPr>
                <w:rFonts w:hint="default"/>
                <w:lang w:eastAsia="zh-CN"/>
              </w:rPr>
            </w:pPr>
            <w:r>
              <w:rPr>
                <w:rFonts w:hint="default"/>
                <w:lang w:eastAsia="zh-CN"/>
              </w:rPr>
              <w:t>a 调整砂水分离器运行的间隔时间，使沉砂池底部的砂石能够及时排除；</w:t>
            </w:r>
          </w:p>
          <w:p>
            <w:pPr>
              <w:pStyle w:val="18"/>
              <w:rPr>
                <w:rFonts w:hint="default"/>
                <w:lang w:eastAsia="zh-CN"/>
              </w:rPr>
            </w:pPr>
            <w:r>
              <w:rPr>
                <w:rFonts w:hint="default"/>
                <w:lang w:eastAsia="zh-CN"/>
              </w:rPr>
              <w:t>b 注意活性污泥浓度，及时排泥。</w:t>
            </w:r>
          </w:p>
          <w:p>
            <w:pPr>
              <w:pStyle w:val="18"/>
              <w:rPr>
                <w:rFonts w:hint="default"/>
                <w:lang w:eastAsia="zh-CN"/>
              </w:rPr>
            </w:pPr>
            <w:r>
              <w:rPr>
                <w:rFonts w:hint="default"/>
                <w:lang w:eastAsia="zh-CN"/>
              </w:rPr>
              <w:t>④进水有大量油污</w:t>
            </w:r>
          </w:p>
          <w:p>
            <w:pPr>
              <w:pStyle w:val="18"/>
              <w:rPr>
                <w:rFonts w:hint="default"/>
                <w:lang w:eastAsia="zh-CN"/>
              </w:rPr>
            </w:pPr>
            <w:r>
              <w:rPr>
                <w:rFonts w:hint="default"/>
                <w:lang w:eastAsia="zh-CN"/>
              </w:rPr>
              <w:t>在细格栅前、后铺设吸油纸或吸油毡，阻止油污进入生物池破坏生化系统。</w:t>
            </w:r>
          </w:p>
          <w:p>
            <w:pPr>
              <w:pStyle w:val="18"/>
              <w:rPr>
                <w:rFonts w:hint="default"/>
                <w:lang w:eastAsia="zh-CN"/>
              </w:rPr>
            </w:pPr>
            <w:r>
              <w:rPr>
                <w:rFonts w:hint="default"/>
                <w:lang w:eastAsia="zh-CN"/>
              </w:rPr>
              <w:t>⑤进水pH值异常</w:t>
            </w:r>
          </w:p>
          <w:p>
            <w:pPr>
              <w:pStyle w:val="18"/>
              <w:rPr>
                <w:rFonts w:hint="default"/>
                <w:lang w:eastAsia="zh-CN"/>
              </w:rPr>
            </w:pPr>
            <w:r>
              <w:rPr>
                <w:rFonts w:hint="default"/>
                <w:lang w:eastAsia="zh-CN"/>
              </w:rPr>
              <w:t>进行酸碱调节。</w:t>
            </w:r>
          </w:p>
          <w:p>
            <w:pPr>
              <w:pStyle w:val="18"/>
              <w:rPr>
                <w:rFonts w:hint="default"/>
                <w:lang w:eastAsia="zh-CN"/>
              </w:rPr>
            </w:pPr>
            <w:r>
              <w:rPr>
                <w:rFonts w:hint="default"/>
                <w:lang w:eastAsia="zh-CN"/>
              </w:rPr>
              <w:t>⑥如伴有氨氮浓度过高，则需检测碳源是否足够，适当补偿。</w:t>
            </w:r>
          </w:p>
          <w:p>
            <w:pPr>
              <w:pStyle w:val="18"/>
              <w:rPr>
                <w:rFonts w:hint="default"/>
                <w:lang w:eastAsia="zh-CN"/>
              </w:rPr>
            </w:pPr>
            <w:r>
              <w:rPr>
                <w:rFonts w:hint="default"/>
                <w:lang w:eastAsia="zh-CN"/>
              </w:rPr>
              <w:t>（</w:t>
            </w:r>
            <w:r>
              <w:rPr>
                <w:rFonts w:hint="default"/>
                <w:lang w:val="en-US" w:eastAsia="zh-CN"/>
              </w:rPr>
              <w:t>2</w:t>
            </w:r>
            <w:r>
              <w:rPr>
                <w:rFonts w:hint="default"/>
                <w:lang w:eastAsia="zh-CN"/>
              </w:rPr>
              <w:t>）关键节点故障</w:t>
            </w:r>
          </w:p>
          <w:p>
            <w:pPr>
              <w:pStyle w:val="18"/>
              <w:rPr>
                <w:rFonts w:hint="default"/>
                <w:lang w:eastAsia="zh-CN"/>
              </w:rPr>
            </w:pPr>
            <w:r>
              <w:rPr>
                <w:rFonts w:hint="default"/>
                <w:lang w:eastAsia="zh-CN"/>
              </w:rPr>
              <w:t>①出现曝气量不足时，及时增加鼓风机开启台数、风机风量、调整生化池供气支阀开度，合理控制各工艺段的DO值；</w:t>
            </w:r>
          </w:p>
          <w:p>
            <w:pPr>
              <w:pStyle w:val="18"/>
              <w:rPr>
                <w:rFonts w:hint="default"/>
                <w:lang w:eastAsia="zh-CN"/>
              </w:rPr>
            </w:pPr>
            <w:r>
              <w:rPr>
                <w:rFonts w:hint="default"/>
                <w:lang w:eastAsia="zh-CN"/>
              </w:rPr>
              <w:t>②出现污泥浓度过高或是过低时，由应急办主任安排技术人员按照当前的工艺数据进行核算剩余污泥排放量，污泥回流比等数据，再根据分析数据进行调整污泥回流量及剩余污泥排放量；</w:t>
            </w:r>
          </w:p>
          <w:p>
            <w:pPr>
              <w:pStyle w:val="18"/>
              <w:rPr>
                <w:rFonts w:hint="default"/>
                <w:lang w:eastAsia="zh-CN"/>
              </w:rPr>
            </w:pPr>
            <w:r>
              <w:rPr>
                <w:rFonts w:hint="default"/>
                <w:lang w:eastAsia="zh-CN"/>
              </w:rPr>
              <w:t>③出现污泥活性低时，合理进行工艺调整，控制 DO 值、回流量、污泥排放量，不断提高MLVSS值，提高污泥活性。</w:t>
            </w:r>
          </w:p>
          <w:p>
            <w:pPr>
              <w:pStyle w:val="18"/>
              <w:rPr>
                <w:rFonts w:hint="default"/>
                <w:lang w:eastAsia="zh-CN"/>
              </w:rPr>
            </w:pPr>
            <w:r>
              <w:rPr>
                <w:rFonts w:hint="default"/>
                <w:lang w:eastAsia="zh-CN"/>
              </w:rPr>
              <w:t>（</w:t>
            </w:r>
            <w:r>
              <w:rPr>
                <w:rFonts w:hint="default"/>
                <w:lang w:val="en-US" w:eastAsia="zh-CN"/>
              </w:rPr>
              <w:t>3</w:t>
            </w:r>
            <w:r>
              <w:rPr>
                <w:rFonts w:hint="default"/>
                <w:lang w:eastAsia="zh-CN"/>
              </w:rPr>
              <w:t>）设备故障</w:t>
            </w:r>
          </w:p>
          <w:p>
            <w:pPr>
              <w:pStyle w:val="18"/>
              <w:rPr>
                <w:rFonts w:hint="default"/>
                <w:lang w:eastAsia="zh-CN"/>
              </w:rPr>
            </w:pPr>
            <w:r>
              <w:rPr>
                <w:rFonts w:hint="default"/>
                <w:lang w:eastAsia="zh-CN"/>
              </w:rPr>
              <w:t>①当细格栅、回流泵、鼓风机、脱水机、高低压配电室等发生故障，有备用回路的，及时进行维修、更换；工艺无法调整或补救时，采取部分停产或分段停产腾出时间对设备进行维修或更换抢修；</w:t>
            </w:r>
          </w:p>
          <w:p>
            <w:pPr>
              <w:pStyle w:val="18"/>
              <w:rPr>
                <w:rFonts w:hint="default"/>
                <w:lang w:eastAsia="zh-CN"/>
              </w:rPr>
            </w:pPr>
            <w:r>
              <w:rPr>
                <w:rFonts w:hint="default"/>
                <w:lang w:eastAsia="zh-CN"/>
              </w:rPr>
              <w:t>②发生火灾、暴雨导致水淹等不可控事件时，立即对污水厂区进行停电，保障人身、设备安全，在尽量降低损失的前提下来恢复和维修。</w:t>
            </w:r>
          </w:p>
          <w:p>
            <w:pPr>
              <w:pStyle w:val="18"/>
              <w:rPr>
                <w:rFonts w:hint="default"/>
                <w:lang w:eastAsia="zh-CN"/>
              </w:rPr>
            </w:pPr>
            <w:r>
              <w:rPr>
                <w:rFonts w:hint="default"/>
                <w:lang w:eastAsia="zh-CN"/>
              </w:rPr>
              <w:t>（</w:t>
            </w:r>
            <w:r>
              <w:rPr>
                <w:rFonts w:hint="default"/>
                <w:lang w:val="en-US" w:eastAsia="zh-CN"/>
              </w:rPr>
              <w:t>4</w:t>
            </w:r>
            <w:r>
              <w:rPr>
                <w:rFonts w:hint="default"/>
                <w:lang w:eastAsia="zh-CN"/>
              </w:rPr>
              <w:t>）雨雪冰冻天气</w:t>
            </w:r>
          </w:p>
          <w:p>
            <w:pPr>
              <w:pStyle w:val="18"/>
              <w:rPr>
                <w:rFonts w:hint="default"/>
                <w:lang w:eastAsia="zh-CN"/>
              </w:rPr>
            </w:pPr>
            <w:r>
              <w:rPr>
                <w:rFonts w:hint="default"/>
                <w:lang w:eastAsia="zh-CN"/>
              </w:rPr>
              <w:t>①对进出水管和出泥管用棉麻织物、或草绳、塑料泡沫等包扎防冻，在所有阀门井、流量计井井盖上覆盖稻草袋或帆布。</w:t>
            </w:r>
          </w:p>
          <w:p>
            <w:pPr>
              <w:pStyle w:val="18"/>
              <w:rPr>
                <w:rFonts w:hint="default"/>
                <w:lang w:eastAsia="zh-CN"/>
              </w:rPr>
            </w:pPr>
            <w:r>
              <w:rPr>
                <w:rFonts w:hint="default"/>
                <w:lang w:eastAsia="zh-CN"/>
              </w:rPr>
              <w:t>②室外水管、水龙头的防冻可用棉、麻丝物或稻草绳子进行包扎。</w:t>
            </w:r>
          </w:p>
          <w:p>
            <w:pPr>
              <w:pStyle w:val="18"/>
              <w:rPr>
                <w:rFonts w:hint="default"/>
                <w:lang w:eastAsia="zh-CN"/>
              </w:rPr>
            </w:pPr>
            <w:r>
              <w:rPr>
                <w:rFonts w:hint="default"/>
                <w:lang w:eastAsia="zh-CN"/>
              </w:rPr>
              <w:t>③对仪表保温箱和仪表测量管线进行防冻处理。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363" w:type="dxa"/>
            <w:tcBorders>
              <w:tl2br w:val="nil"/>
              <w:tr2bl w:val="nil"/>
            </w:tcBorders>
            <w:vAlign w:val="center"/>
          </w:tcPr>
          <w:p>
            <w:pPr>
              <w:pStyle w:val="18"/>
              <w:rPr>
                <w:rFonts w:hint="default"/>
              </w:rPr>
            </w:pPr>
            <w:r>
              <w:rPr>
                <w:rFonts w:hint="default"/>
              </w:rPr>
              <w:t>应急监测方案</w:t>
            </w:r>
          </w:p>
        </w:tc>
        <w:tc>
          <w:tcPr>
            <w:tcW w:w="6971" w:type="dxa"/>
            <w:tcBorders>
              <w:tl2br w:val="nil"/>
              <w:tr2bl w:val="nil"/>
            </w:tcBorders>
            <w:vAlign w:val="top"/>
          </w:tcPr>
          <w:p>
            <w:pPr>
              <w:pStyle w:val="18"/>
              <w:rPr>
                <w:rFonts w:hint="default"/>
              </w:rPr>
            </w:pPr>
            <w:r>
              <w:rPr>
                <w:rFonts w:hint="default"/>
              </w:rPr>
              <w:t>监测布点：污水</w:t>
            </w:r>
            <w:r>
              <w:rPr>
                <w:rFonts w:hint="eastAsia"/>
                <w:lang w:eastAsia="zh-CN"/>
              </w:rPr>
              <w:t>入赣江</w:t>
            </w:r>
            <w:r>
              <w:rPr>
                <w:rFonts w:hint="default"/>
              </w:rPr>
              <w:t>排放口上游500m</w:t>
            </w:r>
          </w:p>
          <w:p>
            <w:pPr>
              <w:pStyle w:val="18"/>
              <w:rPr>
                <w:rFonts w:hint="default" w:eastAsia="宋体"/>
                <w:lang w:val="en-US" w:eastAsia="zh-CN"/>
              </w:rPr>
            </w:pPr>
            <w:r>
              <w:rPr>
                <w:rFonts w:hint="default"/>
              </w:rPr>
              <w:t>监测因子：COD、NH</w:t>
            </w:r>
            <w:r>
              <w:rPr>
                <w:rFonts w:hint="default"/>
                <w:vertAlign w:val="subscript"/>
              </w:rPr>
              <w:t>3</w:t>
            </w:r>
            <w:r>
              <w:rPr>
                <w:rFonts w:hint="default"/>
              </w:rPr>
              <w:t>-N</w:t>
            </w:r>
            <w:r>
              <w:rPr>
                <w:rFonts w:hint="eastAsia"/>
                <w:lang w:eastAsia="zh-CN"/>
              </w:rPr>
              <w:t>、</w:t>
            </w:r>
            <w:r>
              <w:rPr>
                <w:rFonts w:hint="eastAsia"/>
                <w:lang w:val="en-US" w:eastAsia="zh-CN"/>
              </w:rPr>
              <w:t>TN、TP</w:t>
            </w:r>
          </w:p>
          <w:p>
            <w:pPr>
              <w:pStyle w:val="18"/>
              <w:rPr>
                <w:rFonts w:hint="default"/>
                <w:lang w:eastAsia="zh-CN"/>
              </w:rPr>
            </w:pPr>
            <w:r>
              <w:rPr>
                <w:rFonts w:hint="default"/>
              </w:rPr>
              <w:t>监测方法：COD</w:t>
            </w:r>
            <w:r>
              <w:rPr>
                <w:rFonts w:hint="default"/>
                <w:lang w:eastAsia="zh-CN"/>
              </w:rPr>
              <w:t>：</w:t>
            </w:r>
            <w:r>
              <w:rPr>
                <w:rFonts w:hint="default"/>
              </w:rPr>
              <w:t>采用COD快速测定仪法</w:t>
            </w:r>
            <w:r>
              <w:rPr>
                <w:rFonts w:hint="default"/>
                <w:lang w:eastAsia="zh-CN"/>
              </w:rPr>
              <w:t>；</w:t>
            </w:r>
          </w:p>
          <w:p>
            <w:pPr>
              <w:pStyle w:val="18"/>
              <w:rPr>
                <w:rFonts w:hint="default"/>
              </w:rPr>
            </w:pPr>
            <w:r>
              <w:rPr>
                <w:rFonts w:hint="default"/>
              </w:rPr>
              <w:t>NH</w:t>
            </w:r>
            <w:r>
              <w:rPr>
                <w:rFonts w:hint="default"/>
                <w:vertAlign w:val="subscript"/>
              </w:rPr>
              <w:t>3</w:t>
            </w:r>
            <w:r>
              <w:rPr>
                <w:rFonts w:hint="default"/>
              </w:rPr>
              <w:t>-N</w:t>
            </w:r>
            <w:r>
              <w:rPr>
                <w:rFonts w:hint="default"/>
                <w:lang w:eastAsia="zh-CN"/>
              </w:rPr>
              <w:t>：</w:t>
            </w:r>
            <w:r>
              <w:rPr>
                <w:rFonts w:hint="default"/>
              </w:rPr>
              <w:t>采用 NH</w:t>
            </w:r>
            <w:r>
              <w:rPr>
                <w:rFonts w:hint="default"/>
                <w:vertAlign w:val="subscript"/>
              </w:rPr>
              <w:t>3</w:t>
            </w:r>
            <w:r>
              <w:rPr>
                <w:rFonts w:hint="default"/>
              </w:rPr>
              <w:t>-N 快速测定仪法；</w:t>
            </w:r>
          </w:p>
          <w:p>
            <w:pPr>
              <w:pStyle w:val="18"/>
              <w:rPr>
                <w:rFonts w:hint="default"/>
              </w:rPr>
            </w:pPr>
            <w:r>
              <w:rPr>
                <w:rFonts w:hint="default"/>
              </w:rPr>
              <w:t>监测时间及频次：事故发生后每小时监测一次，直到 COD、NH</w:t>
            </w:r>
            <w:r>
              <w:rPr>
                <w:rFonts w:hint="default"/>
                <w:vertAlign w:val="subscript"/>
              </w:rPr>
              <w:t>3</w:t>
            </w:r>
            <w:r>
              <w:rPr>
                <w:rFonts w:hint="default"/>
              </w:rPr>
              <w:t>-N 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363" w:type="dxa"/>
            <w:tcBorders>
              <w:tl2br w:val="nil"/>
              <w:tr2bl w:val="nil"/>
            </w:tcBorders>
            <w:vAlign w:val="center"/>
          </w:tcPr>
          <w:p>
            <w:pPr>
              <w:pStyle w:val="18"/>
              <w:rPr>
                <w:rFonts w:hint="default"/>
              </w:rPr>
            </w:pPr>
            <w:r>
              <w:rPr>
                <w:rFonts w:hint="default"/>
              </w:rPr>
              <w:t>注意事项</w:t>
            </w:r>
          </w:p>
        </w:tc>
        <w:tc>
          <w:tcPr>
            <w:tcW w:w="6971" w:type="dxa"/>
            <w:tcBorders>
              <w:tl2br w:val="nil"/>
              <w:tr2bl w:val="nil"/>
            </w:tcBorders>
            <w:vAlign w:val="top"/>
          </w:tcPr>
          <w:p>
            <w:pPr>
              <w:pStyle w:val="18"/>
              <w:rPr>
                <w:rFonts w:hint="default"/>
              </w:rPr>
            </w:pPr>
            <w:r>
              <w:rPr>
                <w:rFonts w:hint="default"/>
              </w:rPr>
              <w:t>如外排污水严重超标，且短时间内无法做到污水达标排放。在向相关行政主管部门汇报后，会同</w:t>
            </w:r>
            <w:r>
              <w:rPr>
                <w:rFonts w:hint="eastAsia"/>
                <w:lang w:eastAsia="zh-CN"/>
              </w:rPr>
              <w:t>园区</w:t>
            </w:r>
            <w:r>
              <w:rPr>
                <w:rFonts w:hint="default"/>
              </w:rPr>
              <w:t>主管部门一起，减少向</w:t>
            </w:r>
            <w:r>
              <w:rPr>
                <w:rFonts w:hint="eastAsia"/>
                <w:lang w:val="en-US" w:eastAsia="zh-CN"/>
              </w:rPr>
              <w:t>赣州经开区污水处理厂</w:t>
            </w:r>
            <w:r>
              <w:rPr>
                <w:rFonts w:hint="default"/>
              </w:rPr>
              <w:t>输送污水。</w:t>
            </w:r>
          </w:p>
        </w:tc>
      </w:tr>
    </w:tbl>
    <w:p>
      <w:pPr>
        <w:ind w:left="0" w:leftChars="0" w:firstLine="0" w:firstLineChars="0"/>
        <w:jc w:val="center"/>
        <w:rPr>
          <w:rFonts w:hint="default" w:ascii="Times New Roman" w:hAnsi="Times New Roman" w:cs="Times New Roman"/>
          <w:b/>
          <w:color w:val="auto"/>
          <w:sz w:val="21"/>
          <w:szCs w:val="21"/>
          <w:highlight w:val="none"/>
          <w:lang w:val="zh-CN"/>
        </w:rPr>
      </w:pPr>
    </w:p>
    <w:p>
      <w:pPr>
        <w:ind w:left="0" w:leftChars="0" w:firstLine="0" w:firstLineChars="0"/>
        <w:jc w:val="center"/>
        <w:rPr>
          <w:rFonts w:hint="default" w:ascii="Times New Roman" w:hAnsi="Times New Roman" w:eastAsia="宋体" w:cs="Times New Roman"/>
          <w:color w:val="auto"/>
          <w:highlight w:val="none"/>
          <w:u w:val="none"/>
          <w:lang w:eastAsia="zh-CN"/>
        </w:rPr>
      </w:pPr>
      <w:r>
        <w:rPr>
          <w:rFonts w:hint="default" w:ascii="Times New Roman" w:hAnsi="Times New Roman" w:cs="Times New Roman"/>
          <w:b/>
          <w:color w:val="auto"/>
          <w:sz w:val="21"/>
          <w:szCs w:val="21"/>
          <w:highlight w:val="none"/>
          <w:lang w:val="zh-CN"/>
        </w:rPr>
        <w:t>表</w:t>
      </w:r>
      <w:r>
        <w:rPr>
          <w:rFonts w:hint="eastAsia" w:cs="Times New Roman"/>
          <w:b/>
          <w:color w:val="auto"/>
          <w:sz w:val="21"/>
          <w:szCs w:val="21"/>
          <w:highlight w:val="none"/>
          <w:lang w:val="en-US" w:eastAsia="zh-CN"/>
        </w:rPr>
        <w:t>6</w:t>
      </w:r>
      <w:r>
        <w:rPr>
          <w:rFonts w:hint="default" w:ascii="Times New Roman" w:hAnsi="Times New Roman" w:cs="Times New Roman"/>
          <w:b/>
          <w:color w:val="auto"/>
          <w:sz w:val="21"/>
          <w:szCs w:val="21"/>
          <w:highlight w:val="none"/>
          <w:lang w:val="zh-CN"/>
        </w:rPr>
        <w:t>.</w:t>
      </w:r>
      <w:r>
        <w:rPr>
          <w:rFonts w:hint="default" w:ascii="Times New Roman" w:hAnsi="Times New Roman" w:cs="Times New Roman"/>
          <w:b/>
          <w:color w:val="auto"/>
          <w:sz w:val="21"/>
          <w:szCs w:val="21"/>
          <w:highlight w:val="none"/>
          <w:lang w:val="en-US" w:eastAsia="zh-CN"/>
        </w:rPr>
        <w:t>4</w:t>
      </w:r>
      <w:r>
        <w:rPr>
          <w:rFonts w:hint="default" w:ascii="Times New Roman" w:hAnsi="Times New Roman" w:cs="Times New Roman"/>
          <w:b/>
          <w:color w:val="auto"/>
          <w:sz w:val="21"/>
          <w:szCs w:val="21"/>
          <w:highlight w:val="none"/>
          <w:lang w:val="zh-CN"/>
        </w:rPr>
        <w:t>-</w:t>
      </w:r>
      <w:r>
        <w:rPr>
          <w:rFonts w:hint="default" w:ascii="Times New Roman" w:hAnsi="Times New Roman" w:cs="Times New Roman"/>
          <w:b/>
          <w:color w:val="auto"/>
          <w:sz w:val="21"/>
          <w:szCs w:val="21"/>
          <w:highlight w:val="none"/>
          <w:lang w:val="zh-CN" w:eastAsia="zh-CN"/>
        </w:rPr>
        <w:t>2</w:t>
      </w:r>
      <w:r>
        <w:rPr>
          <w:rFonts w:hint="default" w:ascii="Times New Roman" w:hAnsi="Times New Roman" w:cs="Times New Roman"/>
          <w:b/>
          <w:color w:val="auto"/>
          <w:sz w:val="21"/>
          <w:szCs w:val="21"/>
          <w:highlight w:val="none"/>
          <w:lang w:val="zh-CN"/>
        </w:rPr>
        <w:t xml:space="preserve">   机修仓库油品泄漏突发环境事件应急卡</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33"/>
        <w:gridCol w:w="730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033" w:type="dxa"/>
            <w:tcBorders>
              <w:tl2br w:val="nil"/>
              <w:tr2bl w:val="nil"/>
            </w:tcBorders>
            <w:vAlign w:val="center"/>
          </w:tcPr>
          <w:p>
            <w:pPr>
              <w:pStyle w:val="18"/>
              <w:rPr>
                <w:rFonts w:hint="default"/>
              </w:rPr>
            </w:pPr>
            <w:r>
              <w:rPr>
                <w:rFonts w:hint="default"/>
              </w:rPr>
              <w:t>事故特征</w:t>
            </w:r>
          </w:p>
        </w:tc>
        <w:tc>
          <w:tcPr>
            <w:tcW w:w="7301" w:type="dxa"/>
            <w:tcBorders>
              <w:tl2br w:val="nil"/>
              <w:tr2bl w:val="nil"/>
            </w:tcBorders>
            <w:vAlign w:val="center"/>
          </w:tcPr>
          <w:p>
            <w:pPr>
              <w:pStyle w:val="18"/>
              <w:rPr>
                <w:rFonts w:hint="default"/>
              </w:rPr>
            </w:pPr>
            <w:r>
              <w:rPr>
                <w:rFonts w:hint="default"/>
              </w:rPr>
              <w:t>环境风险源：润滑油、废机油等；</w:t>
            </w:r>
          </w:p>
          <w:p>
            <w:pPr>
              <w:pStyle w:val="18"/>
              <w:rPr>
                <w:rFonts w:hint="default"/>
                <w:lang w:val="zh-CN"/>
              </w:rPr>
            </w:pPr>
            <w:r>
              <w:rPr>
                <w:rFonts w:hint="default"/>
              </w:rPr>
              <w:t>污染物流失途径及影响后果：顺着地面漫流进入污水厂进水</w:t>
            </w:r>
            <w:r>
              <w:rPr>
                <w:rFonts w:hint="default"/>
                <w:lang w:val="en-US" w:eastAsia="zh-CN"/>
              </w:rPr>
              <w:t>口</w:t>
            </w:r>
            <w:r>
              <w:rPr>
                <w:rFonts w:hint="default"/>
              </w:rPr>
              <w:t>，经厂内的污水处理系统处理达标后排放。</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033" w:type="dxa"/>
            <w:tcBorders>
              <w:tl2br w:val="nil"/>
              <w:tr2bl w:val="nil"/>
            </w:tcBorders>
            <w:vAlign w:val="center"/>
          </w:tcPr>
          <w:p>
            <w:pPr>
              <w:pStyle w:val="18"/>
              <w:rPr>
                <w:rFonts w:hint="default"/>
              </w:rPr>
            </w:pPr>
            <w:r>
              <w:rPr>
                <w:rFonts w:hint="default"/>
              </w:rPr>
              <w:t>应急预警及程序</w:t>
            </w:r>
          </w:p>
        </w:tc>
        <w:tc>
          <w:tcPr>
            <w:tcW w:w="7301" w:type="dxa"/>
            <w:tcBorders>
              <w:tl2br w:val="nil"/>
              <w:tr2bl w:val="nil"/>
            </w:tcBorders>
            <w:vAlign w:val="center"/>
          </w:tcPr>
          <w:p>
            <w:pPr>
              <w:pStyle w:val="18"/>
              <w:rPr>
                <w:rFonts w:hint="default"/>
              </w:rPr>
            </w:pPr>
            <w:r>
              <w:rPr>
                <w:rFonts w:hint="default"/>
              </w:rPr>
              <w:t>启动 III 级响应程序。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033" w:type="dxa"/>
            <w:tcBorders>
              <w:tl2br w:val="nil"/>
              <w:tr2bl w:val="nil"/>
            </w:tcBorders>
            <w:vAlign w:val="center"/>
          </w:tcPr>
          <w:p>
            <w:pPr>
              <w:pStyle w:val="18"/>
              <w:rPr>
                <w:rFonts w:hint="default"/>
              </w:rPr>
            </w:pPr>
            <w:r>
              <w:rPr>
                <w:rFonts w:hint="default"/>
              </w:rPr>
              <w:t>应急报告</w:t>
            </w:r>
          </w:p>
        </w:tc>
        <w:tc>
          <w:tcPr>
            <w:tcW w:w="7301" w:type="dxa"/>
            <w:tcBorders>
              <w:tl2br w:val="nil"/>
              <w:tr2bl w:val="nil"/>
            </w:tcBorders>
            <w:vAlign w:val="top"/>
          </w:tcPr>
          <w:p>
            <w:pPr>
              <w:pStyle w:val="18"/>
              <w:rPr>
                <w:rFonts w:hint="default"/>
              </w:rPr>
            </w:pPr>
            <w:r>
              <w:rPr>
                <w:rFonts w:hint="default"/>
              </w:rPr>
              <w:t>报告内容：事故发生时间、地点、性质基本情况等</w:t>
            </w:r>
          </w:p>
          <w:p>
            <w:pPr>
              <w:pStyle w:val="18"/>
              <w:rPr>
                <w:rFonts w:hint="default"/>
                <w:lang w:val="en-US" w:eastAsia="zh-CN"/>
              </w:rPr>
            </w:pPr>
            <w:r>
              <w:rPr>
                <w:rFonts w:hint="default"/>
              </w:rPr>
              <w:t>联系电话：18779106209</w:t>
            </w:r>
          </w:p>
          <w:p>
            <w:pPr>
              <w:pStyle w:val="18"/>
              <w:ind w:firstLine="0" w:firstLineChars="0"/>
              <w:rPr>
                <w:rFonts w:hint="default"/>
              </w:rPr>
            </w:pPr>
            <w:r>
              <w:rPr>
                <w:rFonts w:hint="default"/>
              </w:rPr>
              <w:t>报告领导：</w:t>
            </w:r>
            <w:r>
              <w:rPr>
                <w:rFonts w:hint="eastAsia"/>
                <w:lang w:eastAsia="zh-CN"/>
              </w:rPr>
              <w:t>魏跃林</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033" w:type="dxa"/>
            <w:tcBorders>
              <w:tl2br w:val="nil"/>
              <w:tr2bl w:val="nil"/>
            </w:tcBorders>
            <w:vAlign w:val="center"/>
          </w:tcPr>
          <w:p>
            <w:pPr>
              <w:pStyle w:val="18"/>
              <w:rPr>
                <w:rFonts w:hint="default"/>
              </w:rPr>
            </w:pPr>
            <w:r>
              <w:rPr>
                <w:rFonts w:hint="default"/>
              </w:rPr>
              <w:t>应急组织</w:t>
            </w:r>
          </w:p>
        </w:tc>
        <w:tc>
          <w:tcPr>
            <w:tcW w:w="7301" w:type="dxa"/>
            <w:tcBorders>
              <w:tl2br w:val="nil"/>
              <w:tr2bl w:val="nil"/>
            </w:tcBorders>
            <w:vAlign w:val="center"/>
          </w:tcPr>
          <w:p>
            <w:pPr>
              <w:pStyle w:val="18"/>
              <w:ind w:firstLine="0" w:firstLineChars="0"/>
              <w:rPr>
                <w:rFonts w:hint="eastAsia" w:eastAsia="宋体"/>
                <w:lang w:val="en-US" w:eastAsia="zh-CN"/>
              </w:rPr>
            </w:pPr>
            <w:r>
              <w:rPr>
                <w:rFonts w:hint="default"/>
              </w:rPr>
              <w:t>组  长：</w:t>
            </w:r>
            <w:r>
              <w:rPr>
                <w:rFonts w:hint="eastAsia"/>
                <w:lang w:eastAsia="zh-CN"/>
              </w:rPr>
              <w:t>魏跃林</w:t>
            </w:r>
            <w:r>
              <w:rPr>
                <w:rFonts w:hint="default"/>
              </w:rPr>
              <w:t>　　成员：</w:t>
            </w:r>
            <w:r>
              <w:rPr>
                <w:rFonts w:hint="eastAsia"/>
                <w:lang w:eastAsia="zh-CN"/>
              </w:rPr>
              <w:t>温慧新、</w:t>
            </w:r>
            <w:r>
              <w:rPr>
                <w:rFonts w:hint="default"/>
                <w:lang w:val="en-US" w:eastAsia="zh-CN"/>
              </w:rPr>
              <w:t>刘昊</w:t>
            </w:r>
            <w:r>
              <w:rPr>
                <w:rFonts w:hint="eastAsia"/>
                <w:lang w:val="en-US" w:eastAsia="zh-CN"/>
              </w:rPr>
              <w:t>、</w:t>
            </w:r>
            <w:r>
              <w:rPr>
                <w:rFonts w:hint="default"/>
                <w:lang w:val="en-US" w:eastAsia="zh-CN"/>
              </w:rPr>
              <w:t>李龙</w:t>
            </w:r>
            <w:r>
              <w:rPr>
                <w:rFonts w:hint="eastAsia"/>
                <w:lang w:val="en-US" w:eastAsia="zh-CN"/>
              </w:rPr>
              <w:t>、刘金林、刘先珍、黄惠凤、陈定华</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033" w:type="dxa"/>
            <w:tcBorders>
              <w:tl2br w:val="nil"/>
              <w:tr2bl w:val="nil"/>
            </w:tcBorders>
            <w:vAlign w:val="center"/>
          </w:tcPr>
          <w:p>
            <w:pPr>
              <w:pStyle w:val="18"/>
              <w:rPr>
                <w:rFonts w:hint="default"/>
              </w:rPr>
            </w:pPr>
            <w:r>
              <w:rPr>
                <w:rFonts w:hint="default"/>
              </w:rPr>
              <w:t>应急物资</w:t>
            </w:r>
          </w:p>
        </w:tc>
        <w:tc>
          <w:tcPr>
            <w:tcW w:w="7301" w:type="dxa"/>
            <w:tcBorders>
              <w:tl2br w:val="nil"/>
              <w:tr2bl w:val="nil"/>
            </w:tcBorders>
            <w:vAlign w:val="center"/>
          </w:tcPr>
          <w:p>
            <w:pPr>
              <w:pStyle w:val="18"/>
              <w:rPr>
                <w:rFonts w:hint="default"/>
              </w:rPr>
            </w:pPr>
            <w:r>
              <w:rPr>
                <w:rFonts w:hint="default"/>
              </w:rPr>
              <w:t>口罩、手套、吸油毡、带盖空桶等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033" w:type="dxa"/>
            <w:tcBorders>
              <w:tl2br w:val="nil"/>
              <w:tr2bl w:val="nil"/>
            </w:tcBorders>
            <w:vAlign w:val="center"/>
          </w:tcPr>
          <w:p>
            <w:pPr>
              <w:pStyle w:val="18"/>
              <w:rPr>
                <w:rFonts w:hint="default"/>
              </w:rPr>
            </w:pPr>
            <w:r>
              <w:rPr>
                <w:rFonts w:hint="default"/>
              </w:rPr>
              <w:t>疏散与撤离</w:t>
            </w:r>
          </w:p>
        </w:tc>
        <w:tc>
          <w:tcPr>
            <w:tcW w:w="7301" w:type="dxa"/>
            <w:tcBorders>
              <w:tl2br w:val="nil"/>
              <w:tr2bl w:val="nil"/>
            </w:tcBorders>
            <w:vAlign w:val="center"/>
          </w:tcPr>
          <w:p>
            <w:pPr>
              <w:pStyle w:val="18"/>
              <w:rPr>
                <w:rFonts w:hint="default"/>
              </w:rPr>
            </w:pPr>
            <w:r>
              <w:rPr>
                <w:rFonts w:hint="default"/>
              </w:rPr>
              <w:t>不需要进行撤离</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033" w:type="dxa"/>
            <w:tcBorders>
              <w:tl2br w:val="nil"/>
              <w:tr2bl w:val="nil"/>
            </w:tcBorders>
            <w:vAlign w:val="center"/>
          </w:tcPr>
          <w:p>
            <w:pPr>
              <w:pStyle w:val="18"/>
              <w:rPr>
                <w:rFonts w:hint="default"/>
              </w:rPr>
            </w:pPr>
            <w:r>
              <w:rPr>
                <w:rFonts w:hint="default"/>
              </w:rPr>
              <w:t>应急</w:t>
            </w:r>
          </w:p>
          <w:p>
            <w:pPr>
              <w:pStyle w:val="18"/>
              <w:rPr>
                <w:rFonts w:hint="default"/>
              </w:rPr>
            </w:pPr>
            <w:r>
              <w:rPr>
                <w:rFonts w:hint="default"/>
              </w:rPr>
              <w:t>处置</w:t>
            </w:r>
          </w:p>
          <w:p>
            <w:pPr>
              <w:pStyle w:val="18"/>
              <w:rPr>
                <w:rFonts w:hint="default"/>
              </w:rPr>
            </w:pPr>
            <w:r>
              <w:rPr>
                <w:rFonts w:hint="default"/>
              </w:rPr>
              <w:t>措施</w:t>
            </w:r>
          </w:p>
        </w:tc>
        <w:tc>
          <w:tcPr>
            <w:tcW w:w="7301" w:type="dxa"/>
            <w:tcBorders>
              <w:tl2br w:val="nil"/>
              <w:tr2bl w:val="nil"/>
            </w:tcBorders>
            <w:vAlign w:val="top"/>
          </w:tcPr>
          <w:p>
            <w:pPr>
              <w:pStyle w:val="18"/>
              <w:rPr>
                <w:rFonts w:hint="default"/>
              </w:rPr>
            </w:pPr>
            <w:r>
              <w:rPr>
                <w:rFonts w:hint="default"/>
              </w:rPr>
              <w:t>①泄漏容器内的润滑油/废机油转移至带盖空桶或同类矿物油空桶内；</w:t>
            </w:r>
          </w:p>
          <w:p>
            <w:pPr>
              <w:pStyle w:val="18"/>
              <w:rPr>
                <w:rFonts w:hint="default"/>
              </w:rPr>
            </w:pPr>
            <w:r>
              <w:rPr>
                <w:rFonts w:hint="default"/>
              </w:rPr>
              <w:t>②用消防沙对泄漏的润滑油/废机油进行覆盖吸收，防止泄漏润滑油/废机油在仓库内漫流；同时，用带盖空桶对泄漏的润滑油/废机油进行收集；盖好，并妥善保存；</w:t>
            </w:r>
          </w:p>
          <w:p>
            <w:pPr>
              <w:pStyle w:val="18"/>
              <w:rPr>
                <w:rFonts w:hint="default"/>
              </w:rPr>
            </w:pPr>
            <w:r>
              <w:rPr>
                <w:rFonts w:hint="default"/>
              </w:rPr>
              <w:t>③用沙袋制成临时围堰堵住仓库门，将泄漏的润滑油/废机油收集至带盖空桶内作为危废处理。</w:t>
            </w:r>
          </w:p>
          <w:p>
            <w:pPr>
              <w:pStyle w:val="18"/>
              <w:rPr>
                <w:rFonts w:hint="default"/>
              </w:rPr>
            </w:pPr>
            <w:r>
              <w:rPr>
                <w:rFonts w:hint="default"/>
              </w:rPr>
              <w:t>④按照现场实际情况，用吸油毡对雨水明沟内泄漏的润滑油/废机油进行吸附，在暗沟或管道入口处用沙袋设置拦截坝进行拦截。</w:t>
            </w:r>
          </w:p>
          <w:p>
            <w:pPr>
              <w:pStyle w:val="18"/>
              <w:rPr>
                <w:rFonts w:hint="default"/>
              </w:rPr>
            </w:pPr>
            <w:r>
              <w:rPr>
                <w:rFonts w:hint="default"/>
              </w:rPr>
              <w:t>⑤调节相应的设备参数，防止泄漏油品对污水厂的运行产生影响。</w:t>
            </w:r>
          </w:p>
          <w:p>
            <w:pPr>
              <w:pStyle w:val="18"/>
              <w:rPr>
                <w:rFonts w:hint="default"/>
              </w:rPr>
            </w:pPr>
            <w:r>
              <w:rPr>
                <w:rFonts w:hint="default"/>
              </w:rPr>
              <w:t>⑥经</w:t>
            </w:r>
            <w:r>
              <w:rPr>
                <w:rFonts w:hint="eastAsia"/>
                <w:lang w:eastAsia="zh-CN"/>
              </w:rPr>
              <w:t>污水处理厂</w:t>
            </w:r>
            <w:r>
              <w:rPr>
                <w:rFonts w:hint="default"/>
              </w:rPr>
              <w:t>应急指挥部对事故现场进行检查合格后，恢复正常生产秩序。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033" w:type="dxa"/>
            <w:tcBorders>
              <w:tl2br w:val="nil"/>
              <w:tr2bl w:val="nil"/>
            </w:tcBorders>
            <w:vAlign w:val="center"/>
          </w:tcPr>
          <w:p>
            <w:pPr>
              <w:pStyle w:val="18"/>
              <w:rPr>
                <w:rFonts w:hint="default"/>
              </w:rPr>
            </w:pPr>
            <w:r>
              <w:rPr>
                <w:rFonts w:hint="default"/>
              </w:rPr>
              <w:t>应急监测方案</w:t>
            </w:r>
          </w:p>
        </w:tc>
        <w:tc>
          <w:tcPr>
            <w:tcW w:w="7301" w:type="dxa"/>
            <w:tcBorders>
              <w:tl2br w:val="nil"/>
              <w:tr2bl w:val="nil"/>
            </w:tcBorders>
            <w:vAlign w:val="center"/>
          </w:tcPr>
          <w:p>
            <w:pPr>
              <w:pStyle w:val="18"/>
              <w:rPr>
                <w:rFonts w:hint="default"/>
              </w:rPr>
            </w:pPr>
            <w:r>
              <w:rPr>
                <w:rFonts w:hint="default"/>
              </w:rPr>
              <w:t>不需要进行应急监测</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033" w:type="dxa"/>
            <w:tcBorders>
              <w:tl2br w:val="nil"/>
              <w:tr2bl w:val="nil"/>
            </w:tcBorders>
            <w:vAlign w:val="center"/>
          </w:tcPr>
          <w:p>
            <w:pPr>
              <w:pStyle w:val="18"/>
              <w:rPr>
                <w:rFonts w:hint="default"/>
              </w:rPr>
            </w:pPr>
            <w:r>
              <w:rPr>
                <w:rFonts w:hint="default"/>
              </w:rPr>
              <w:t>注意事项</w:t>
            </w:r>
          </w:p>
        </w:tc>
        <w:tc>
          <w:tcPr>
            <w:tcW w:w="7301" w:type="dxa"/>
            <w:tcBorders>
              <w:tl2br w:val="nil"/>
              <w:tr2bl w:val="nil"/>
            </w:tcBorders>
            <w:vAlign w:val="center"/>
          </w:tcPr>
          <w:p>
            <w:pPr>
              <w:pStyle w:val="18"/>
              <w:rPr>
                <w:rFonts w:hint="default"/>
              </w:rPr>
            </w:pPr>
            <w:r>
              <w:rPr>
                <w:rFonts w:hint="default"/>
              </w:rPr>
              <w:t>泄漏的物料、使用后的吸油毡、沾有物料的手套等做危废处置</w:t>
            </w:r>
          </w:p>
        </w:tc>
      </w:tr>
    </w:tbl>
    <w:p>
      <w:pPr>
        <w:pStyle w:val="16"/>
        <w:rPr>
          <w:rStyle w:val="17"/>
          <w:rFonts w:hint="default"/>
          <w:b/>
        </w:rPr>
      </w:pPr>
      <w:r>
        <w:rPr>
          <w:rFonts w:hint="default" w:ascii="Times New Roman" w:hAnsi="Times New Roman" w:eastAsia="宋体" w:cs="Times New Roman"/>
          <w:color w:val="auto"/>
          <w:highlight w:val="none"/>
          <w:u w:val="none"/>
        </w:rPr>
        <w:br w:type="page"/>
      </w:r>
      <w:r>
        <w:rPr>
          <w:rStyle w:val="17"/>
          <w:rFonts w:hint="default"/>
          <w:b/>
        </w:rPr>
        <w:t>表</w:t>
      </w:r>
      <w:r>
        <w:rPr>
          <w:rStyle w:val="17"/>
          <w:rFonts w:hint="eastAsia"/>
          <w:b/>
          <w:lang w:val="en-US" w:eastAsia="zh-CN"/>
        </w:rPr>
        <w:t>6</w:t>
      </w:r>
      <w:r>
        <w:rPr>
          <w:rStyle w:val="17"/>
          <w:rFonts w:hint="default"/>
          <w:b/>
        </w:rPr>
        <w:t>.</w:t>
      </w:r>
      <w:r>
        <w:rPr>
          <w:rStyle w:val="17"/>
          <w:rFonts w:hint="default"/>
          <w:b/>
          <w:lang w:val="en-US" w:eastAsia="zh-CN"/>
        </w:rPr>
        <w:t>4</w:t>
      </w:r>
      <w:r>
        <w:rPr>
          <w:rStyle w:val="17"/>
          <w:rFonts w:hint="default"/>
          <w:b/>
        </w:rPr>
        <w:t>-</w:t>
      </w:r>
      <w:r>
        <w:rPr>
          <w:rStyle w:val="17"/>
          <w:rFonts w:hint="default"/>
          <w:b/>
          <w:lang w:eastAsia="zh-CN"/>
        </w:rPr>
        <w:t>3</w:t>
      </w:r>
      <w:r>
        <w:rPr>
          <w:rStyle w:val="17"/>
          <w:rFonts w:hint="default"/>
          <w:b/>
        </w:rPr>
        <w:t xml:space="preserve">   PAC</w:t>
      </w:r>
      <w:r>
        <w:rPr>
          <w:rStyle w:val="17"/>
          <w:rFonts w:hint="default"/>
          <w:b/>
          <w:lang w:val="en-US" w:eastAsia="zh-CN"/>
        </w:rPr>
        <w:t>溶液泄漏突发</w:t>
      </w:r>
      <w:r>
        <w:rPr>
          <w:rStyle w:val="17"/>
          <w:rFonts w:hint="default"/>
          <w:b/>
        </w:rPr>
        <w:t>环境事件应急卡</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143"/>
        <w:gridCol w:w="719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43" w:type="dxa"/>
            <w:tcBorders>
              <w:tl2br w:val="nil"/>
              <w:tr2bl w:val="nil"/>
            </w:tcBorders>
            <w:vAlign w:val="center"/>
          </w:tcPr>
          <w:p>
            <w:pPr>
              <w:pStyle w:val="18"/>
              <w:rPr>
                <w:rFonts w:hint="default"/>
              </w:rPr>
            </w:pPr>
            <w:r>
              <w:rPr>
                <w:rFonts w:hint="default"/>
              </w:rPr>
              <w:t>事故特征</w:t>
            </w:r>
          </w:p>
        </w:tc>
        <w:tc>
          <w:tcPr>
            <w:tcW w:w="7191" w:type="dxa"/>
            <w:tcBorders>
              <w:tl2br w:val="nil"/>
              <w:tr2bl w:val="nil"/>
            </w:tcBorders>
            <w:vAlign w:val="center"/>
          </w:tcPr>
          <w:p>
            <w:pPr>
              <w:pStyle w:val="18"/>
              <w:rPr>
                <w:rFonts w:hint="default"/>
                <w:lang w:val="en-US" w:eastAsia="zh-CN"/>
              </w:rPr>
            </w:pPr>
            <w:r>
              <w:rPr>
                <w:rFonts w:hint="default"/>
              </w:rPr>
              <w:t>环境风险源</w:t>
            </w:r>
            <w:r>
              <w:rPr>
                <w:rFonts w:hint="default"/>
                <w:lang w:eastAsia="zh-CN"/>
              </w:rPr>
              <w:t>：</w:t>
            </w:r>
            <w:r>
              <w:rPr>
                <w:rFonts w:hint="default"/>
                <w:lang w:val="en-US" w:eastAsia="zh-CN"/>
              </w:rPr>
              <w:t>PAC溶液</w:t>
            </w:r>
          </w:p>
          <w:p>
            <w:pPr>
              <w:pStyle w:val="18"/>
              <w:rPr>
                <w:rFonts w:hint="default"/>
                <w:lang w:val="en-US" w:eastAsia="zh-CN"/>
              </w:rPr>
            </w:pPr>
            <w:r>
              <w:rPr>
                <w:rFonts w:hint="default"/>
                <w:lang w:val="en-US" w:eastAsia="zh-CN"/>
              </w:rPr>
              <w:t>污染物流失途径及影响后果：</w:t>
            </w:r>
            <w:r>
              <w:rPr>
                <w:rFonts w:hint="default"/>
              </w:rPr>
              <w:t>顺着地面漫流进入污水厂进水</w:t>
            </w:r>
            <w:r>
              <w:rPr>
                <w:rFonts w:hint="default"/>
                <w:lang w:val="en-US" w:eastAsia="zh-CN"/>
              </w:rPr>
              <w:t>口</w:t>
            </w:r>
            <w:r>
              <w:rPr>
                <w:rFonts w:hint="default"/>
              </w:rPr>
              <w:t>，经厂内的污水处理系统处理达标后排放</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43" w:type="dxa"/>
            <w:tcBorders>
              <w:tl2br w:val="nil"/>
              <w:tr2bl w:val="nil"/>
            </w:tcBorders>
            <w:vAlign w:val="center"/>
          </w:tcPr>
          <w:p>
            <w:pPr>
              <w:pStyle w:val="18"/>
              <w:rPr>
                <w:rFonts w:hint="default"/>
              </w:rPr>
            </w:pPr>
            <w:r>
              <w:rPr>
                <w:rFonts w:hint="default"/>
              </w:rPr>
              <w:t>应急预警及程序</w:t>
            </w:r>
          </w:p>
        </w:tc>
        <w:tc>
          <w:tcPr>
            <w:tcW w:w="7191" w:type="dxa"/>
            <w:tcBorders>
              <w:tl2br w:val="nil"/>
              <w:tr2bl w:val="nil"/>
            </w:tcBorders>
            <w:vAlign w:val="center"/>
          </w:tcPr>
          <w:p>
            <w:pPr>
              <w:pStyle w:val="18"/>
              <w:rPr>
                <w:rFonts w:hint="default"/>
              </w:rPr>
            </w:pPr>
            <w:r>
              <w:rPr>
                <w:rFonts w:hint="default"/>
              </w:rPr>
              <w:t>启动 III 级响应程序。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43" w:type="dxa"/>
            <w:tcBorders>
              <w:tl2br w:val="nil"/>
              <w:tr2bl w:val="nil"/>
            </w:tcBorders>
            <w:vAlign w:val="center"/>
          </w:tcPr>
          <w:p>
            <w:pPr>
              <w:pStyle w:val="18"/>
              <w:rPr>
                <w:rFonts w:hint="default"/>
              </w:rPr>
            </w:pPr>
            <w:r>
              <w:rPr>
                <w:rFonts w:hint="default"/>
              </w:rPr>
              <w:t>应急报告</w:t>
            </w:r>
          </w:p>
        </w:tc>
        <w:tc>
          <w:tcPr>
            <w:tcW w:w="7191" w:type="dxa"/>
            <w:tcBorders>
              <w:tl2br w:val="nil"/>
              <w:tr2bl w:val="nil"/>
            </w:tcBorders>
            <w:vAlign w:val="top"/>
          </w:tcPr>
          <w:p>
            <w:pPr>
              <w:pStyle w:val="18"/>
              <w:rPr>
                <w:rFonts w:hint="default"/>
              </w:rPr>
            </w:pPr>
            <w:r>
              <w:rPr>
                <w:rFonts w:hint="default"/>
              </w:rPr>
              <w:t>报告内容：事故发生时间、地点、性质基本情况等</w:t>
            </w:r>
          </w:p>
          <w:p>
            <w:pPr>
              <w:pStyle w:val="18"/>
              <w:rPr>
                <w:rFonts w:hint="default"/>
                <w:lang w:val="en-US" w:eastAsia="zh-CN"/>
              </w:rPr>
            </w:pPr>
            <w:r>
              <w:rPr>
                <w:rFonts w:hint="default"/>
              </w:rPr>
              <w:t>联系电话：18779106209</w:t>
            </w:r>
          </w:p>
          <w:p>
            <w:pPr>
              <w:pStyle w:val="18"/>
              <w:ind w:firstLine="0" w:firstLineChars="0"/>
              <w:rPr>
                <w:rFonts w:hint="default"/>
              </w:rPr>
            </w:pPr>
            <w:r>
              <w:rPr>
                <w:rFonts w:hint="default"/>
              </w:rPr>
              <w:t>报告领导：</w:t>
            </w:r>
            <w:r>
              <w:rPr>
                <w:rFonts w:hint="eastAsia"/>
                <w:lang w:eastAsia="zh-CN"/>
              </w:rPr>
              <w:t>魏跃林</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43" w:type="dxa"/>
            <w:tcBorders>
              <w:tl2br w:val="nil"/>
              <w:tr2bl w:val="nil"/>
            </w:tcBorders>
            <w:vAlign w:val="center"/>
          </w:tcPr>
          <w:p>
            <w:pPr>
              <w:pStyle w:val="18"/>
              <w:rPr>
                <w:rFonts w:hint="default"/>
              </w:rPr>
            </w:pPr>
            <w:r>
              <w:rPr>
                <w:rFonts w:hint="default"/>
              </w:rPr>
              <w:t>应急组织</w:t>
            </w:r>
          </w:p>
        </w:tc>
        <w:tc>
          <w:tcPr>
            <w:tcW w:w="7191" w:type="dxa"/>
            <w:tcBorders>
              <w:tl2br w:val="nil"/>
              <w:tr2bl w:val="nil"/>
            </w:tcBorders>
            <w:vAlign w:val="center"/>
          </w:tcPr>
          <w:p>
            <w:pPr>
              <w:pStyle w:val="18"/>
              <w:ind w:firstLine="0" w:firstLineChars="0"/>
              <w:rPr>
                <w:rFonts w:hint="default"/>
              </w:rPr>
            </w:pPr>
            <w:r>
              <w:rPr>
                <w:rFonts w:hint="default"/>
              </w:rPr>
              <w:t>组  长：</w:t>
            </w:r>
            <w:r>
              <w:rPr>
                <w:rFonts w:hint="eastAsia"/>
                <w:lang w:eastAsia="zh-CN"/>
              </w:rPr>
              <w:t>魏跃林</w:t>
            </w:r>
            <w:r>
              <w:rPr>
                <w:rFonts w:hint="default"/>
              </w:rPr>
              <w:t>　　成员：</w:t>
            </w:r>
            <w:r>
              <w:rPr>
                <w:rFonts w:hint="eastAsia"/>
                <w:lang w:eastAsia="zh-CN"/>
              </w:rPr>
              <w:t>温慧新、</w:t>
            </w:r>
            <w:r>
              <w:rPr>
                <w:rFonts w:hint="default"/>
                <w:lang w:val="en-US" w:eastAsia="zh-CN"/>
              </w:rPr>
              <w:t>刘昊</w:t>
            </w:r>
            <w:r>
              <w:rPr>
                <w:rFonts w:hint="eastAsia"/>
                <w:lang w:val="en-US" w:eastAsia="zh-CN"/>
              </w:rPr>
              <w:t>、</w:t>
            </w:r>
            <w:r>
              <w:rPr>
                <w:rFonts w:hint="default"/>
                <w:lang w:val="en-US" w:eastAsia="zh-CN"/>
              </w:rPr>
              <w:t>李龙</w:t>
            </w:r>
            <w:r>
              <w:rPr>
                <w:rFonts w:hint="eastAsia"/>
                <w:lang w:val="en-US" w:eastAsia="zh-CN"/>
              </w:rPr>
              <w:t>、刘金林、刘先珍、黄惠凤、陈定华</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43" w:type="dxa"/>
            <w:tcBorders>
              <w:tl2br w:val="nil"/>
              <w:tr2bl w:val="nil"/>
            </w:tcBorders>
            <w:vAlign w:val="center"/>
          </w:tcPr>
          <w:p>
            <w:pPr>
              <w:pStyle w:val="18"/>
              <w:rPr>
                <w:rFonts w:hint="default"/>
              </w:rPr>
            </w:pPr>
            <w:r>
              <w:rPr>
                <w:rFonts w:hint="default"/>
              </w:rPr>
              <w:t>应急物资</w:t>
            </w:r>
          </w:p>
        </w:tc>
        <w:tc>
          <w:tcPr>
            <w:tcW w:w="7191" w:type="dxa"/>
            <w:tcBorders>
              <w:tl2br w:val="nil"/>
              <w:tr2bl w:val="nil"/>
            </w:tcBorders>
            <w:vAlign w:val="center"/>
          </w:tcPr>
          <w:p>
            <w:pPr>
              <w:pStyle w:val="18"/>
              <w:rPr>
                <w:rFonts w:hint="default"/>
              </w:rPr>
            </w:pPr>
            <w:r>
              <w:rPr>
                <w:rFonts w:hint="default"/>
              </w:rPr>
              <w:t>口罩、手套、带盖空桶等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43" w:type="dxa"/>
            <w:tcBorders>
              <w:tl2br w:val="nil"/>
              <w:tr2bl w:val="nil"/>
            </w:tcBorders>
            <w:vAlign w:val="center"/>
          </w:tcPr>
          <w:p>
            <w:pPr>
              <w:pStyle w:val="18"/>
              <w:rPr>
                <w:rFonts w:hint="default"/>
              </w:rPr>
            </w:pPr>
            <w:r>
              <w:rPr>
                <w:rFonts w:hint="default"/>
              </w:rPr>
              <w:t>疏散与撤离</w:t>
            </w:r>
          </w:p>
        </w:tc>
        <w:tc>
          <w:tcPr>
            <w:tcW w:w="7191" w:type="dxa"/>
            <w:tcBorders>
              <w:tl2br w:val="nil"/>
              <w:tr2bl w:val="nil"/>
            </w:tcBorders>
            <w:vAlign w:val="center"/>
          </w:tcPr>
          <w:p>
            <w:pPr>
              <w:pStyle w:val="18"/>
              <w:rPr>
                <w:rFonts w:hint="default"/>
              </w:rPr>
            </w:pPr>
            <w:r>
              <w:rPr>
                <w:rFonts w:hint="default"/>
              </w:rPr>
              <w:t>不需要进行撤离</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tcBorders>
              <w:tl2br w:val="nil"/>
              <w:tr2bl w:val="nil"/>
            </w:tcBorders>
            <w:vAlign w:val="center"/>
          </w:tcPr>
          <w:p>
            <w:pPr>
              <w:pStyle w:val="18"/>
              <w:rPr>
                <w:rFonts w:hint="default"/>
              </w:rPr>
            </w:pPr>
            <w:r>
              <w:rPr>
                <w:rFonts w:hint="default"/>
              </w:rPr>
              <w:t>应急</w:t>
            </w:r>
          </w:p>
          <w:p>
            <w:pPr>
              <w:pStyle w:val="18"/>
              <w:rPr>
                <w:rFonts w:hint="default"/>
              </w:rPr>
            </w:pPr>
            <w:r>
              <w:rPr>
                <w:rFonts w:hint="default"/>
              </w:rPr>
              <w:t>处置</w:t>
            </w:r>
          </w:p>
          <w:p>
            <w:pPr>
              <w:pStyle w:val="18"/>
              <w:rPr>
                <w:rFonts w:hint="default"/>
              </w:rPr>
            </w:pPr>
            <w:r>
              <w:rPr>
                <w:rFonts w:hint="default"/>
              </w:rPr>
              <w:t>措施</w:t>
            </w:r>
          </w:p>
        </w:tc>
        <w:tc>
          <w:tcPr>
            <w:tcW w:w="7191" w:type="dxa"/>
            <w:tcBorders>
              <w:tl2br w:val="nil"/>
              <w:tr2bl w:val="nil"/>
            </w:tcBorders>
            <w:vAlign w:val="top"/>
          </w:tcPr>
          <w:p>
            <w:pPr>
              <w:pStyle w:val="18"/>
              <w:rPr>
                <w:rFonts w:hint="default"/>
              </w:rPr>
            </w:pPr>
            <w:r>
              <w:rPr>
                <w:rFonts w:hint="default"/>
              </w:rPr>
              <w:t>①泄漏容器内的</w:t>
            </w:r>
            <w:r>
              <w:rPr>
                <w:rFonts w:hint="default"/>
                <w:lang w:val="en-US" w:eastAsia="zh-CN"/>
              </w:rPr>
              <w:t>PAC</w:t>
            </w:r>
            <w:r>
              <w:rPr>
                <w:rFonts w:hint="default"/>
              </w:rPr>
              <w:t>溶液转移至带盖空桶或同类矿物油空桶内；</w:t>
            </w:r>
          </w:p>
          <w:p>
            <w:pPr>
              <w:pStyle w:val="18"/>
              <w:rPr>
                <w:rFonts w:hint="default"/>
              </w:rPr>
            </w:pPr>
            <w:r>
              <w:rPr>
                <w:rFonts w:hint="default"/>
              </w:rPr>
              <w:t>②用消防沙对泄漏的</w:t>
            </w:r>
            <w:r>
              <w:rPr>
                <w:rFonts w:hint="default"/>
                <w:lang w:val="en-US" w:eastAsia="zh-CN"/>
              </w:rPr>
              <w:t>PAC</w:t>
            </w:r>
            <w:r>
              <w:rPr>
                <w:rFonts w:hint="default"/>
              </w:rPr>
              <w:t>溶液进行覆盖吸收，防止泄漏</w:t>
            </w:r>
            <w:r>
              <w:rPr>
                <w:rFonts w:hint="default"/>
                <w:lang w:val="en-US" w:eastAsia="zh-CN"/>
              </w:rPr>
              <w:t>PAC</w:t>
            </w:r>
            <w:r>
              <w:rPr>
                <w:rFonts w:hint="default"/>
              </w:rPr>
              <w:t>溶液在仓库内漫流；同时，用带盖空桶对泄漏的</w:t>
            </w:r>
            <w:r>
              <w:rPr>
                <w:rFonts w:hint="default"/>
                <w:lang w:val="en-US" w:eastAsia="zh-CN"/>
              </w:rPr>
              <w:t>PAC</w:t>
            </w:r>
            <w:r>
              <w:rPr>
                <w:rFonts w:hint="default"/>
              </w:rPr>
              <w:t>溶液进行收集；盖好，并妥善保存；</w:t>
            </w:r>
          </w:p>
          <w:p>
            <w:pPr>
              <w:pStyle w:val="18"/>
              <w:rPr>
                <w:rFonts w:hint="default"/>
              </w:rPr>
            </w:pPr>
            <w:r>
              <w:rPr>
                <w:rFonts w:hint="default"/>
              </w:rPr>
              <w:t>③调节相应的设备参数，防止泄漏的</w:t>
            </w:r>
            <w:r>
              <w:rPr>
                <w:rFonts w:hint="default"/>
                <w:lang w:val="en-US" w:eastAsia="zh-CN"/>
              </w:rPr>
              <w:t>PAC溶液</w:t>
            </w:r>
            <w:r>
              <w:rPr>
                <w:rFonts w:hint="default"/>
              </w:rPr>
              <w:t>对污水厂的运行产生影响；</w:t>
            </w:r>
          </w:p>
          <w:p>
            <w:pPr>
              <w:pStyle w:val="18"/>
              <w:rPr>
                <w:rFonts w:hint="default"/>
              </w:rPr>
            </w:pPr>
            <w:r>
              <w:rPr>
                <w:rFonts w:hint="default"/>
              </w:rPr>
              <w:t>④经</w:t>
            </w:r>
            <w:r>
              <w:rPr>
                <w:rFonts w:hint="eastAsia"/>
                <w:lang w:eastAsia="zh-CN"/>
              </w:rPr>
              <w:t>污水处理厂</w:t>
            </w:r>
            <w:r>
              <w:rPr>
                <w:rFonts w:hint="default"/>
              </w:rPr>
              <w:t>应急指挥部对事故现场进行检查合格后，恢复正常生产秩序。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tcBorders>
              <w:tl2br w:val="nil"/>
              <w:tr2bl w:val="nil"/>
            </w:tcBorders>
            <w:vAlign w:val="center"/>
          </w:tcPr>
          <w:p>
            <w:pPr>
              <w:pStyle w:val="18"/>
              <w:rPr>
                <w:rFonts w:hint="default"/>
              </w:rPr>
            </w:pPr>
            <w:r>
              <w:rPr>
                <w:rFonts w:hint="default"/>
              </w:rPr>
              <w:t>应急监测方案</w:t>
            </w:r>
          </w:p>
        </w:tc>
        <w:tc>
          <w:tcPr>
            <w:tcW w:w="7191" w:type="dxa"/>
            <w:tcBorders>
              <w:tl2br w:val="nil"/>
              <w:tr2bl w:val="nil"/>
            </w:tcBorders>
            <w:vAlign w:val="center"/>
          </w:tcPr>
          <w:p>
            <w:pPr>
              <w:pStyle w:val="18"/>
              <w:rPr>
                <w:rFonts w:hint="default"/>
              </w:rPr>
            </w:pPr>
            <w:r>
              <w:rPr>
                <w:rFonts w:hint="default"/>
              </w:rPr>
              <w:t>不需要进行应急监测</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tcBorders>
              <w:tl2br w:val="nil"/>
              <w:tr2bl w:val="nil"/>
            </w:tcBorders>
            <w:vAlign w:val="center"/>
          </w:tcPr>
          <w:p>
            <w:pPr>
              <w:pStyle w:val="18"/>
              <w:rPr>
                <w:rFonts w:hint="default"/>
              </w:rPr>
            </w:pPr>
            <w:r>
              <w:rPr>
                <w:rFonts w:hint="default"/>
              </w:rPr>
              <w:t>注意事项</w:t>
            </w:r>
          </w:p>
        </w:tc>
        <w:tc>
          <w:tcPr>
            <w:tcW w:w="7191" w:type="dxa"/>
            <w:tcBorders>
              <w:tl2br w:val="nil"/>
              <w:tr2bl w:val="nil"/>
            </w:tcBorders>
            <w:vAlign w:val="top"/>
          </w:tcPr>
          <w:p>
            <w:pPr>
              <w:pStyle w:val="18"/>
              <w:rPr>
                <w:rFonts w:hint="default"/>
              </w:rPr>
            </w:pPr>
            <w:r>
              <w:rPr>
                <w:rFonts w:hint="default"/>
              </w:rPr>
              <w:t>对出水水质进行严密监控</w:t>
            </w:r>
          </w:p>
        </w:tc>
      </w:tr>
    </w:tbl>
    <w:p>
      <w:pPr>
        <w:pStyle w:val="16"/>
        <w:rPr>
          <w:rFonts w:hint="default" w:ascii="Times New Roman" w:hAnsi="Times New Roman" w:cs="Times New Roman"/>
          <w:b/>
          <w:color w:val="auto"/>
          <w:highlight w:val="none"/>
          <w:u w:val="none"/>
        </w:rPr>
      </w:pPr>
      <w:r>
        <w:rPr>
          <w:rFonts w:hint="default" w:ascii="Times New Roman" w:hAnsi="Times New Roman" w:cs="Times New Roman"/>
          <w:b/>
          <w:color w:val="auto"/>
          <w:sz w:val="21"/>
          <w:szCs w:val="21"/>
          <w:highlight w:val="none"/>
          <w:lang w:val="zh-CN"/>
        </w:rPr>
        <w:t>表</w:t>
      </w:r>
      <w:r>
        <w:rPr>
          <w:rFonts w:hint="eastAsia" w:cs="Times New Roman"/>
          <w:b/>
          <w:color w:val="auto"/>
          <w:sz w:val="21"/>
          <w:szCs w:val="21"/>
          <w:highlight w:val="none"/>
          <w:lang w:val="en-US" w:eastAsia="zh-CN"/>
        </w:rPr>
        <w:t>6</w:t>
      </w:r>
      <w:r>
        <w:rPr>
          <w:rFonts w:hint="default" w:ascii="Times New Roman" w:hAnsi="Times New Roman" w:cs="Times New Roman"/>
          <w:b/>
          <w:color w:val="auto"/>
          <w:sz w:val="21"/>
          <w:szCs w:val="21"/>
          <w:highlight w:val="none"/>
          <w:lang w:val="zh-CN"/>
        </w:rPr>
        <w:t>.</w:t>
      </w:r>
      <w:r>
        <w:rPr>
          <w:rFonts w:hint="default" w:ascii="Times New Roman" w:hAnsi="Times New Roman" w:cs="Times New Roman"/>
          <w:b/>
          <w:color w:val="auto"/>
          <w:sz w:val="21"/>
          <w:szCs w:val="21"/>
          <w:highlight w:val="none"/>
          <w:lang w:val="en-US" w:eastAsia="zh-CN"/>
        </w:rPr>
        <w:t>4</w:t>
      </w:r>
      <w:r>
        <w:rPr>
          <w:rFonts w:hint="default" w:ascii="Times New Roman" w:hAnsi="Times New Roman" w:cs="Times New Roman"/>
          <w:b/>
          <w:color w:val="auto"/>
          <w:sz w:val="21"/>
          <w:szCs w:val="21"/>
          <w:highlight w:val="none"/>
          <w:lang w:val="zh-CN"/>
        </w:rPr>
        <w:t>-</w:t>
      </w:r>
      <w:r>
        <w:rPr>
          <w:rFonts w:hint="default" w:ascii="Times New Roman" w:hAnsi="Times New Roman" w:cs="Times New Roman"/>
          <w:b/>
          <w:color w:val="auto"/>
          <w:sz w:val="21"/>
          <w:szCs w:val="21"/>
          <w:highlight w:val="none"/>
          <w:lang w:val="en-US" w:eastAsia="zh-CN"/>
        </w:rPr>
        <w:t>4</w:t>
      </w:r>
      <w:r>
        <w:rPr>
          <w:rFonts w:hint="default" w:ascii="Times New Roman" w:hAnsi="Times New Roman" w:cs="Times New Roman"/>
          <w:b/>
          <w:color w:val="auto"/>
          <w:sz w:val="21"/>
          <w:szCs w:val="21"/>
          <w:highlight w:val="none"/>
          <w:lang w:val="zh-CN"/>
        </w:rPr>
        <w:t xml:space="preserve">   PAM溶液泄漏突发环境事件应急卡</w:t>
      </w:r>
    </w:p>
    <w:tbl>
      <w:tblPr>
        <w:tblStyle w:val="10"/>
        <w:tblW w:w="8334"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01"/>
        <w:gridCol w:w="7133"/>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201" w:type="dxa"/>
            <w:tcBorders>
              <w:tl2br w:val="nil"/>
              <w:tr2bl w:val="nil"/>
            </w:tcBorders>
            <w:vAlign w:val="center"/>
          </w:tcPr>
          <w:p>
            <w:pPr>
              <w:pStyle w:val="18"/>
              <w:rPr>
                <w:rFonts w:hint="default"/>
              </w:rPr>
            </w:pPr>
            <w:r>
              <w:rPr>
                <w:rFonts w:hint="default"/>
              </w:rPr>
              <w:t>事故特征</w:t>
            </w:r>
          </w:p>
        </w:tc>
        <w:tc>
          <w:tcPr>
            <w:tcW w:w="7133" w:type="dxa"/>
            <w:tcBorders>
              <w:tl2br w:val="nil"/>
              <w:tr2bl w:val="nil"/>
            </w:tcBorders>
            <w:vAlign w:val="center"/>
          </w:tcPr>
          <w:p>
            <w:pPr>
              <w:pStyle w:val="18"/>
              <w:rPr>
                <w:rFonts w:hint="default"/>
                <w:lang w:val="en-US" w:eastAsia="zh-CN"/>
              </w:rPr>
            </w:pPr>
            <w:r>
              <w:rPr>
                <w:rFonts w:hint="default"/>
              </w:rPr>
              <w:t>环境风险源</w:t>
            </w:r>
            <w:r>
              <w:rPr>
                <w:rFonts w:hint="default"/>
                <w:lang w:eastAsia="zh-CN"/>
              </w:rPr>
              <w:t>：</w:t>
            </w:r>
            <w:r>
              <w:rPr>
                <w:rFonts w:hint="default"/>
                <w:lang w:val="en-US" w:eastAsia="zh-CN"/>
              </w:rPr>
              <w:t>PAM溶液</w:t>
            </w:r>
          </w:p>
          <w:p>
            <w:pPr>
              <w:pStyle w:val="18"/>
              <w:rPr>
                <w:rFonts w:hint="default"/>
                <w:lang w:val="zh-CN"/>
              </w:rPr>
            </w:pPr>
            <w:r>
              <w:rPr>
                <w:rFonts w:hint="default"/>
                <w:lang w:val="en-US" w:eastAsia="zh-CN"/>
              </w:rPr>
              <w:t>污染物流失途径及影响后果：</w:t>
            </w:r>
            <w:r>
              <w:rPr>
                <w:rFonts w:hint="default"/>
              </w:rPr>
              <w:t>顺着地面漫流进入污水厂进水</w:t>
            </w:r>
            <w:r>
              <w:rPr>
                <w:rFonts w:hint="default"/>
                <w:lang w:val="en-US" w:eastAsia="zh-CN"/>
              </w:rPr>
              <w:t>口</w:t>
            </w:r>
            <w:r>
              <w:rPr>
                <w:rFonts w:hint="default"/>
              </w:rPr>
              <w:t>，经厂内的污水处理系统处理达标后排放</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201" w:type="dxa"/>
            <w:tcBorders>
              <w:tl2br w:val="nil"/>
              <w:tr2bl w:val="nil"/>
            </w:tcBorders>
            <w:vAlign w:val="center"/>
          </w:tcPr>
          <w:p>
            <w:pPr>
              <w:pStyle w:val="18"/>
              <w:rPr>
                <w:rFonts w:hint="default"/>
              </w:rPr>
            </w:pPr>
            <w:r>
              <w:rPr>
                <w:rFonts w:hint="default"/>
              </w:rPr>
              <w:t>应急预警及程序</w:t>
            </w:r>
          </w:p>
        </w:tc>
        <w:tc>
          <w:tcPr>
            <w:tcW w:w="7133" w:type="dxa"/>
            <w:tcBorders>
              <w:tl2br w:val="nil"/>
              <w:tr2bl w:val="nil"/>
            </w:tcBorders>
            <w:vAlign w:val="center"/>
          </w:tcPr>
          <w:p>
            <w:pPr>
              <w:pStyle w:val="18"/>
              <w:rPr>
                <w:rFonts w:hint="default"/>
              </w:rPr>
            </w:pPr>
            <w:r>
              <w:rPr>
                <w:rFonts w:hint="default"/>
              </w:rPr>
              <w:t>启动 III 级响应程序。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201" w:type="dxa"/>
            <w:tcBorders>
              <w:tl2br w:val="nil"/>
              <w:tr2bl w:val="nil"/>
            </w:tcBorders>
            <w:vAlign w:val="center"/>
          </w:tcPr>
          <w:p>
            <w:pPr>
              <w:pStyle w:val="18"/>
              <w:rPr>
                <w:rFonts w:hint="default"/>
              </w:rPr>
            </w:pPr>
            <w:r>
              <w:rPr>
                <w:rFonts w:hint="default"/>
              </w:rPr>
              <w:t>应急报告</w:t>
            </w:r>
          </w:p>
        </w:tc>
        <w:tc>
          <w:tcPr>
            <w:tcW w:w="7133" w:type="dxa"/>
            <w:tcBorders>
              <w:tl2br w:val="nil"/>
              <w:tr2bl w:val="nil"/>
            </w:tcBorders>
            <w:vAlign w:val="top"/>
          </w:tcPr>
          <w:p>
            <w:pPr>
              <w:pStyle w:val="18"/>
              <w:rPr>
                <w:rFonts w:hint="default"/>
              </w:rPr>
            </w:pPr>
            <w:r>
              <w:rPr>
                <w:rFonts w:hint="default"/>
              </w:rPr>
              <w:t>报告内容：事故发生时间、地点、性质基本情况等</w:t>
            </w:r>
          </w:p>
          <w:p>
            <w:pPr>
              <w:pStyle w:val="18"/>
              <w:rPr>
                <w:rFonts w:hint="default"/>
                <w:lang w:val="en-US" w:eastAsia="zh-CN"/>
              </w:rPr>
            </w:pPr>
            <w:r>
              <w:rPr>
                <w:rFonts w:hint="default"/>
              </w:rPr>
              <w:t>联系电话：18779106209</w:t>
            </w:r>
          </w:p>
          <w:p>
            <w:pPr>
              <w:pStyle w:val="18"/>
              <w:ind w:firstLine="0" w:firstLineChars="0"/>
              <w:rPr>
                <w:rFonts w:hint="default"/>
                <w:lang w:val="en-US"/>
              </w:rPr>
            </w:pPr>
            <w:r>
              <w:rPr>
                <w:rFonts w:hint="default"/>
              </w:rPr>
              <w:t>报告领导：</w:t>
            </w:r>
            <w:r>
              <w:rPr>
                <w:rFonts w:hint="eastAsia"/>
                <w:lang w:eastAsia="zh-CN"/>
              </w:rPr>
              <w:t>魏跃林</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201" w:type="dxa"/>
            <w:tcBorders>
              <w:tl2br w:val="nil"/>
              <w:tr2bl w:val="nil"/>
            </w:tcBorders>
            <w:vAlign w:val="center"/>
          </w:tcPr>
          <w:p>
            <w:pPr>
              <w:pStyle w:val="18"/>
              <w:rPr>
                <w:rFonts w:hint="default"/>
              </w:rPr>
            </w:pPr>
            <w:r>
              <w:rPr>
                <w:rFonts w:hint="default"/>
              </w:rPr>
              <w:t>应急组织</w:t>
            </w:r>
          </w:p>
        </w:tc>
        <w:tc>
          <w:tcPr>
            <w:tcW w:w="7133" w:type="dxa"/>
            <w:tcBorders>
              <w:tl2br w:val="nil"/>
              <w:tr2bl w:val="nil"/>
            </w:tcBorders>
            <w:vAlign w:val="center"/>
          </w:tcPr>
          <w:p>
            <w:pPr>
              <w:pStyle w:val="18"/>
              <w:ind w:firstLine="0" w:firstLineChars="0"/>
              <w:rPr>
                <w:rFonts w:hint="default"/>
              </w:rPr>
            </w:pPr>
            <w:r>
              <w:rPr>
                <w:rFonts w:hint="default"/>
              </w:rPr>
              <w:t>组  长：</w:t>
            </w:r>
            <w:r>
              <w:rPr>
                <w:rFonts w:hint="eastAsia"/>
                <w:lang w:eastAsia="zh-CN"/>
              </w:rPr>
              <w:t>魏跃林</w:t>
            </w:r>
            <w:r>
              <w:rPr>
                <w:rFonts w:hint="default"/>
              </w:rPr>
              <w:t>　　成员：</w:t>
            </w:r>
            <w:r>
              <w:rPr>
                <w:rFonts w:hint="eastAsia"/>
                <w:lang w:eastAsia="zh-CN"/>
              </w:rPr>
              <w:t>温慧新、</w:t>
            </w:r>
            <w:r>
              <w:rPr>
                <w:rFonts w:hint="default"/>
                <w:lang w:val="en-US" w:eastAsia="zh-CN"/>
              </w:rPr>
              <w:t>刘昊</w:t>
            </w:r>
            <w:r>
              <w:rPr>
                <w:rFonts w:hint="eastAsia"/>
                <w:lang w:val="en-US" w:eastAsia="zh-CN"/>
              </w:rPr>
              <w:t>、</w:t>
            </w:r>
            <w:r>
              <w:rPr>
                <w:rFonts w:hint="default"/>
                <w:lang w:val="en-US" w:eastAsia="zh-CN"/>
              </w:rPr>
              <w:t>李龙</w:t>
            </w:r>
            <w:r>
              <w:rPr>
                <w:rFonts w:hint="eastAsia"/>
                <w:lang w:val="en-US" w:eastAsia="zh-CN"/>
              </w:rPr>
              <w:t>、刘金林、刘先珍、黄惠凤、陈定华</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201" w:type="dxa"/>
            <w:tcBorders>
              <w:tl2br w:val="nil"/>
              <w:tr2bl w:val="nil"/>
            </w:tcBorders>
            <w:vAlign w:val="center"/>
          </w:tcPr>
          <w:p>
            <w:pPr>
              <w:pStyle w:val="18"/>
              <w:rPr>
                <w:rFonts w:hint="default"/>
              </w:rPr>
            </w:pPr>
            <w:r>
              <w:rPr>
                <w:rFonts w:hint="default"/>
              </w:rPr>
              <w:t>应急物资</w:t>
            </w:r>
          </w:p>
        </w:tc>
        <w:tc>
          <w:tcPr>
            <w:tcW w:w="7133" w:type="dxa"/>
            <w:tcBorders>
              <w:tl2br w:val="nil"/>
              <w:tr2bl w:val="nil"/>
            </w:tcBorders>
            <w:vAlign w:val="center"/>
          </w:tcPr>
          <w:p>
            <w:pPr>
              <w:pStyle w:val="18"/>
              <w:rPr>
                <w:rFonts w:hint="default"/>
                <w:lang w:val="en-US" w:eastAsia="zh-CN"/>
              </w:rPr>
            </w:pPr>
            <w:r>
              <w:rPr>
                <w:rFonts w:hint="default"/>
              </w:rPr>
              <w:t>口罩、手套、带盖空桶</w:t>
            </w:r>
            <w:r>
              <w:rPr>
                <w:rFonts w:hint="default"/>
                <w:lang w:val="en-US" w:eastAsia="zh-CN"/>
              </w:rPr>
              <w:t>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201" w:type="dxa"/>
            <w:tcBorders>
              <w:tl2br w:val="nil"/>
              <w:tr2bl w:val="nil"/>
            </w:tcBorders>
            <w:vAlign w:val="center"/>
          </w:tcPr>
          <w:p>
            <w:pPr>
              <w:pStyle w:val="18"/>
              <w:rPr>
                <w:rFonts w:hint="default"/>
              </w:rPr>
            </w:pPr>
            <w:r>
              <w:rPr>
                <w:rFonts w:hint="default"/>
              </w:rPr>
              <w:t>疏散与撤离</w:t>
            </w:r>
          </w:p>
        </w:tc>
        <w:tc>
          <w:tcPr>
            <w:tcW w:w="7133" w:type="dxa"/>
            <w:tcBorders>
              <w:tl2br w:val="nil"/>
              <w:tr2bl w:val="nil"/>
            </w:tcBorders>
            <w:vAlign w:val="center"/>
          </w:tcPr>
          <w:p>
            <w:pPr>
              <w:pStyle w:val="18"/>
              <w:rPr>
                <w:rFonts w:hint="default"/>
              </w:rPr>
            </w:pPr>
            <w:r>
              <w:rPr>
                <w:rFonts w:hint="default"/>
              </w:rPr>
              <w:t>不需要进行撤离</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201" w:type="dxa"/>
            <w:tcBorders>
              <w:tl2br w:val="nil"/>
              <w:tr2bl w:val="nil"/>
            </w:tcBorders>
            <w:vAlign w:val="center"/>
          </w:tcPr>
          <w:p>
            <w:pPr>
              <w:pStyle w:val="18"/>
              <w:rPr>
                <w:rFonts w:hint="default"/>
              </w:rPr>
            </w:pPr>
            <w:r>
              <w:rPr>
                <w:rFonts w:hint="default"/>
              </w:rPr>
              <w:t>应急</w:t>
            </w:r>
          </w:p>
          <w:p>
            <w:pPr>
              <w:pStyle w:val="18"/>
              <w:rPr>
                <w:rFonts w:hint="default"/>
              </w:rPr>
            </w:pPr>
            <w:r>
              <w:rPr>
                <w:rFonts w:hint="default"/>
              </w:rPr>
              <w:t>处置</w:t>
            </w:r>
          </w:p>
          <w:p>
            <w:pPr>
              <w:pStyle w:val="18"/>
              <w:rPr>
                <w:rFonts w:hint="default"/>
              </w:rPr>
            </w:pPr>
            <w:r>
              <w:rPr>
                <w:rFonts w:hint="default"/>
              </w:rPr>
              <w:t>措施</w:t>
            </w:r>
          </w:p>
        </w:tc>
        <w:tc>
          <w:tcPr>
            <w:tcW w:w="7133" w:type="dxa"/>
            <w:tcBorders>
              <w:tl2br w:val="nil"/>
              <w:tr2bl w:val="nil"/>
            </w:tcBorders>
            <w:vAlign w:val="center"/>
          </w:tcPr>
          <w:p>
            <w:pPr>
              <w:pStyle w:val="18"/>
              <w:rPr>
                <w:rFonts w:hint="default"/>
              </w:rPr>
            </w:pPr>
            <w:r>
              <w:rPr>
                <w:rFonts w:hint="default"/>
              </w:rPr>
              <w:t>①泄漏容器内的</w:t>
            </w:r>
            <w:r>
              <w:rPr>
                <w:rFonts w:hint="default"/>
                <w:lang w:val="en-US" w:eastAsia="zh-CN"/>
              </w:rPr>
              <w:t>PAM</w:t>
            </w:r>
            <w:r>
              <w:rPr>
                <w:rFonts w:hint="default"/>
              </w:rPr>
              <w:t>溶液转移至带盖空桶或同类矿物油空桶内；</w:t>
            </w:r>
          </w:p>
          <w:p>
            <w:pPr>
              <w:pStyle w:val="18"/>
              <w:rPr>
                <w:rFonts w:hint="default"/>
              </w:rPr>
            </w:pPr>
            <w:r>
              <w:rPr>
                <w:rFonts w:hint="default"/>
              </w:rPr>
              <w:t>②用消防沙对泄漏的</w:t>
            </w:r>
            <w:r>
              <w:rPr>
                <w:rFonts w:hint="default"/>
                <w:lang w:val="en-US" w:eastAsia="zh-CN"/>
              </w:rPr>
              <w:t>PAM</w:t>
            </w:r>
            <w:r>
              <w:rPr>
                <w:rFonts w:hint="default"/>
              </w:rPr>
              <w:t>溶液进行覆盖吸收，防止泄漏</w:t>
            </w:r>
            <w:r>
              <w:rPr>
                <w:rFonts w:hint="default"/>
                <w:lang w:val="en-US" w:eastAsia="zh-CN"/>
              </w:rPr>
              <w:t>PAM</w:t>
            </w:r>
            <w:r>
              <w:rPr>
                <w:rFonts w:hint="default"/>
              </w:rPr>
              <w:t>溶液在仓库内漫流；同时，用带盖空桶对泄漏的</w:t>
            </w:r>
            <w:r>
              <w:rPr>
                <w:rFonts w:hint="default"/>
                <w:lang w:val="en-US" w:eastAsia="zh-CN"/>
              </w:rPr>
              <w:t>PAM</w:t>
            </w:r>
            <w:r>
              <w:rPr>
                <w:rFonts w:hint="default"/>
              </w:rPr>
              <w:t>溶液进行收集；盖好，并妥善保存；</w:t>
            </w:r>
          </w:p>
          <w:p>
            <w:pPr>
              <w:pStyle w:val="18"/>
              <w:rPr>
                <w:rFonts w:hint="default"/>
              </w:rPr>
            </w:pPr>
            <w:r>
              <w:rPr>
                <w:rFonts w:hint="default"/>
              </w:rPr>
              <w:t>③调节相应的设备参数，防止泄漏的</w:t>
            </w:r>
            <w:r>
              <w:rPr>
                <w:rFonts w:hint="default"/>
                <w:lang w:val="en-US" w:eastAsia="zh-CN"/>
              </w:rPr>
              <w:t>PAM</w:t>
            </w:r>
            <w:r>
              <w:rPr>
                <w:rFonts w:hint="default"/>
              </w:rPr>
              <w:t>溶液对污水厂的运行产生影响；</w:t>
            </w:r>
          </w:p>
          <w:p>
            <w:pPr>
              <w:pStyle w:val="18"/>
              <w:rPr>
                <w:rFonts w:hint="default"/>
                <w:lang w:val="en-US" w:eastAsia="zh-CN"/>
              </w:rPr>
            </w:pPr>
            <w:r>
              <w:rPr>
                <w:rFonts w:hint="default"/>
              </w:rPr>
              <w:t>④经</w:t>
            </w:r>
            <w:r>
              <w:rPr>
                <w:rFonts w:hint="eastAsia"/>
                <w:lang w:eastAsia="zh-CN"/>
              </w:rPr>
              <w:t>污水处理厂</w:t>
            </w:r>
            <w:r>
              <w:rPr>
                <w:rFonts w:hint="default"/>
              </w:rPr>
              <w:t>应急指挥部对事故现场进行检查合格后，恢复正常生产秩序。</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201" w:type="dxa"/>
            <w:tcBorders>
              <w:tl2br w:val="nil"/>
              <w:tr2bl w:val="nil"/>
            </w:tcBorders>
            <w:vAlign w:val="center"/>
          </w:tcPr>
          <w:p>
            <w:pPr>
              <w:pStyle w:val="18"/>
              <w:rPr>
                <w:rFonts w:hint="default"/>
              </w:rPr>
            </w:pPr>
            <w:r>
              <w:rPr>
                <w:rFonts w:hint="default"/>
              </w:rPr>
              <w:t>应急监测方案</w:t>
            </w:r>
          </w:p>
        </w:tc>
        <w:tc>
          <w:tcPr>
            <w:tcW w:w="7133" w:type="dxa"/>
            <w:tcBorders>
              <w:tl2br w:val="nil"/>
              <w:tr2bl w:val="nil"/>
            </w:tcBorders>
            <w:vAlign w:val="center"/>
          </w:tcPr>
          <w:p>
            <w:pPr>
              <w:pStyle w:val="18"/>
              <w:rPr>
                <w:rFonts w:hint="default"/>
              </w:rPr>
            </w:pPr>
            <w:r>
              <w:rPr>
                <w:rFonts w:hint="default"/>
              </w:rPr>
              <w:t>不需要进行应急监测</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201" w:type="dxa"/>
            <w:tcBorders>
              <w:tl2br w:val="nil"/>
              <w:tr2bl w:val="nil"/>
            </w:tcBorders>
            <w:vAlign w:val="center"/>
          </w:tcPr>
          <w:p>
            <w:pPr>
              <w:pStyle w:val="18"/>
              <w:rPr>
                <w:rFonts w:hint="default"/>
              </w:rPr>
            </w:pPr>
            <w:r>
              <w:rPr>
                <w:rFonts w:hint="default"/>
              </w:rPr>
              <w:t>注意事项</w:t>
            </w:r>
          </w:p>
        </w:tc>
        <w:tc>
          <w:tcPr>
            <w:tcW w:w="7133" w:type="dxa"/>
            <w:tcBorders>
              <w:tl2br w:val="nil"/>
              <w:tr2bl w:val="nil"/>
            </w:tcBorders>
            <w:vAlign w:val="center"/>
          </w:tcPr>
          <w:p>
            <w:pPr>
              <w:pStyle w:val="18"/>
              <w:rPr>
                <w:rFonts w:hint="default"/>
              </w:rPr>
            </w:pPr>
            <w:r>
              <w:rPr>
                <w:rFonts w:hint="default"/>
              </w:rPr>
              <w:t>对出水水质进行严密监控</w:t>
            </w:r>
          </w:p>
        </w:tc>
      </w:tr>
    </w:tbl>
    <w:p>
      <w:pPr>
        <w:pStyle w:val="19"/>
        <w:rPr>
          <w:rStyle w:val="26"/>
          <w:rFonts w:hint="default"/>
          <w:b/>
        </w:rPr>
      </w:pPr>
      <w:bookmarkStart w:id="354" w:name="_Toc25746"/>
      <w:r>
        <w:rPr>
          <w:rFonts w:hint="eastAsia" w:cs="Times New Roman"/>
          <w:color w:val="auto"/>
          <w:highlight w:val="none"/>
          <w:u w:val="none"/>
          <w:lang w:val="en-US" w:eastAsia="zh-CN"/>
        </w:rPr>
        <w:br w:type="page"/>
      </w:r>
      <w:bookmarkStart w:id="355" w:name="_Toc14186"/>
      <w:bookmarkStart w:id="356" w:name="_Toc1066_WPSOffice_Level1"/>
      <w:bookmarkStart w:id="357" w:name="_Toc717"/>
      <w:r>
        <w:rPr>
          <w:rStyle w:val="26"/>
          <w:rFonts w:hint="eastAsia"/>
          <w:b/>
          <w:lang w:val="en-US" w:eastAsia="zh-CN"/>
        </w:rPr>
        <w:t>7</w:t>
      </w:r>
      <w:r>
        <w:rPr>
          <w:rStyle w:val="26"/>
          <w:rFonts w:hint="default"/>
          <w:b/>
        </w:rPr>
        <w:t>安全防护</w:t>
      </w:r>
      <w:bookmarkEnd w:id="354"/>
      <w:bookmarkEnd w:id="355"/>
      <w:bookmarkEnd w:id="356"/>
      <w:bookmarkEnd w:id="357"/>
    </w:p>
    <w:p>
      <w:pPr>
        <w:pStyle w:val="20"/>
        <w:rPr>
          <w:rFonts w:hint="default"/>
        </w:rPr>
      </w:pPr>
      <w:bookmarkStart w:id="358" w:name="_Toc8349_WPSOffice_Level1"/>
      <w:bookmarkStart w:id="359" w:name="_Toc435"/>
      <w:bookmarkStart w:id="360" w:name="_Toc4119"/>
      <w:bookmarkStart w:id="361" w:name="_Toc7307"/>
      <w:r>
        <w:rPr>
          <w:rFonts w:hint="eastAsia"/>
          <w:lang w:val="en-US" w:eastAsia="zh-CN"/>
        </w:rPr>
        <w:t>7.1</w:t>
      </w:r>
      <w:r>
        <w:rPr>
          <w:rFonts w:hint="default"/>
          <w:lang w:eastAsia="zh-CN"/>
        </w:rPr>
        <w:t>应急救援人员的安全防护</w:t>
      </w:r>
      <w:bookmarkEnd w:id="358"/>
      <w:bookmarkEnd w:id="359"/>
      <w:bookmarkEnd w:id="360"/>
      <w:bookmarkEnd w:id="361"/>
    </w:p>
    <w:p>
      <w:pPr>
        <w:pStyle w:val="14"/>
        <w:rPr>
          <w:rFonts w:hint="default"/>
          <w:lang w:val="zh-CN"/>
        </w:rPr>
      </w:pPr>
      <w:r>
        <w:rPr>
          <w:rFonts w:hint="default"/>
          <w:lang w:val="zh-CN"/>
        </w:rPr>
        <w:t>应急人员在进入现场时应做好如下准备：一是人员准备，根据事故发生的规模，影响程度以及危险范围，确定应急救援人员的人数，并由经验丰富的或相关专业人员带队；二是救援器材、物资必须准备充足，以防出现救险物资不够用的情况；三是必须弄清救援方式，救援前尽量弄清楚各类相关事故处置情况，在保证自己安全的情况下最大限度的抢险救灾；四是思想准备要充分，救援时思想情绪保持稳定，做好救援抢险工作。</w:t>
      </w:r>
    </w:p>
    <w:p>
      <w:pPr>
        <w:pStyle w:val="14"/>
        <w:rPr>
          <w:rFonts w:hint="default"/>
          <w:lang w:val="zh-CN"/>
        </w:rPr>
      </w:pPr>
      <w:r>
        <w:rPr>
          <w:rFonts w:hint="default"/>
          <w:lang w:val="zh-CN"/>
        </w:rPr>
        <w:t>当突发事件的危害已经消除或者得到有效控制，由应急指挥小组组长命令应急救援人员撤离现场。撤离时应保持秩序不混乱，不得提前脱下防护设备，待到安全区域时立即消毒、沐浴。</w:t>
      </w:r>
    </w:p>
    <w:p>
      <w:pPr>
        <w:pStyle w:val="20"/>
        <w:rPr>
          <w:rFonts w:hint="default"/>
        </w:rPr>
      </w:pPr>
      <w:bookmarkStart w:id="362" w:name="_Toc325"/>
      <w:bookmarkStart w:id="363" w:name="_Toc9830"/>
      <w:bookmarkStart w:id="364" w:name="_Toc26302_WPSOffice_Level1"/>
      <w:bookmarkStart w:id="365" w:name="_Toc24737"/>
      <w:r>
        <w:rPr>
          <w:rFonts w:hint="eastAsia"/>
          <w:lang w:val="en-US" w:eastAsia="zh-CN"/>
        </w:rPr>
        <w:t>7.2</w:t>
      </w:r>
      <w:r>
        <w:rPr>
          <w:rFonts w:hint="default"/>
          <w:lang w:eastAsia="zh-CN"/>
        </w:rPr>
        <w:t>受伤人员救援</w:t>
      </w:r>
      <w:bookmarkEnd w:id="362"/>
      <w:bookmarkEnd w:id="363"/>
      <w:bookmarkEnd w:id="364"/>
      <w:bookmarkEnd w:id="365"/>
    </w:p>
    <w:p>
      <w:pPr>
        <w:pStyle w:val="14"/>
        <w:rPr>
          <w:rFonts w:hint="default"/>
          <w:lang w:val="en-US" w:eastAsia="zh-CN"/>
        </w:rPr>
      </w:pPr>
      <w:r>
        <w:rPr>
          <w:rFonts w:hint="default"/>
          <w:lang w:val="en-US" w:eastAsia="zh-CN"/>
        </w:rPr>
        <w:t>事故发生造成人员伤亡时，在专业人员到达事故发生点前，</w:t>
      </w:r>
      <w:r>
        <w:rPr>
          <w:rFonts w:hint="eastAsia"/>
          <w:lang w:val="en-US" w:eastAsia="zh-CN"/>
        </w:rPr>
        <w:t>污水处理厂</w:t>
      </w:r>
      <w:r>
        <w:rPr>
          <w:rFonts w:hint="default"/>
          <w:lang w:val="en-US" w:eastAsia="zh-CN"/>
        </w:rPr>
        <w:t>在保证营救者自身安全的情况下对受伤者展开营救。根据伤害和中毒的特点对受伤人员实施现场急救，初步救治人员和重伤人员送往上述医院救治。</w:t>
      </w:r>
    </w:p>
    <w:p>
      <w:pPr>
        <w:pStyle w:val="14"/>
        <w:rPr>
          <w:rFonts w:hint="default"/>
          <w:lang w:val="en-US" w:eastAsia="zh-CN"/>
        </w:rPr>
      </w:pPr>
      <w:r>
        <w:rPr>
          <w:rFonts w:hint="default"/>
          <w:lang w:val="en-US" w:eastAsia="zh-CN"/>
        </w:rPr>
        <w:t>人员救护的基本程序：现场救护；使用药物治疗；对症治疗；伤重者送医院观察治疗。现场人员救助，要在最短的时间内伤员送至空旷地带，及时治疗，以达到挽救生命、稳定病情、减少伤残、减轻痛苦。</w:t>
      </w:r>
    </w:p>
    <w:p>
      <w:pPr>
        <w:pStyle w:val="14"/>
        <w:rPr>
          <w:rFonts w:hint="default"/>
          <w:lang w:val="en-US" w:eastAsia="zh-CN"/>
        </w:rPr>
      </w:pPr>
      <w:r>
        <w:rPr>
          <w:rFonts w:hint="default"/>
          <w:lang w:val="en-US" w:eastAsia="zh-CN"/>
        </w:rPr>
        <w:t>对一般烧伤人员，可以口服烧伤饮用 0.3%食盐水，含盐开水以防休克。为解除伤员痛苦，可口服吗啡0.01g或肌肉注射杜冷丁50-100mg。伤势严重者。应迅速转送医院。但对正在休克期的伤员，不能未做处理即加转送，对休克伤员最好请医护人员前来抢救。送伤者至医院时要防寒、防暑、防颠，必要时输液。凡烧伤面积大，三度烧伤多者，尽可能用暴露疗法，不宜包扎。暴露疗法应在医院进行。</w:t>
      </w:r>
    </w:p>
    <w:p>
      <w:pPr>
        <w:pStyle w:val="14"/>
        <w:rPr>
          <w:rFonts w:hint="default"/>
          <w:lang w:val="en-US" w:eastAsia="zh-CN"/>
        </w:rPr>
      </w:pPr>
      <w:r>
        <w:rPr>
          <w:rFonts w:hint="default"/>
          <w:lang w:val="en-US" w:eastAsia="zh-CN"/>
        </w:rPr>
        <w:t>创伤时的人员，用消毒镊子或消毒纱布把伤口清理干净，并用 3.5%的碘酒涂在伤口四周。对于创伤轻的毛细血管出血，伤口消毒后即可用止血粉外敷。不论是毛细血管出血（渗出血液，出血少），静脉出血（暗红色血，流出慢）还是动脉出血都可以用压迫法止血。在伤口比较严重、出血较多时，应在四肢伤口上部包扎止血带止血，并用消毒纱布盖住伤口。仍大量流血时，特别是动脉出血，应迅速送医院治疗。</w:t>
      </w:r>
    </w:p>
    <w:p>
      <w:pPr>
        <w:pStyle w:val="14"/>
        <w:rPr>
          <w:rFonts w:hint="default"/>
          <w:lang w:val="en-US" w:eastAsia="zh-CN"/>
        </w:rPr>
      </w:pPr>
      <w:r>
        <w:rPr>
          <w:rFonts w:hint="default"/>
          <w:lang w:val="en-US" w:eastAsia="zh-CN"/>
        </w:rPr>
        <w:t>眼部刺激处理：先用清水或生理盐水冲洗眼睛，初步处理后将伤者送医院进一步治疗。</w:t>
      </w:r>
    </w:p>
    <w:p>
      <w:pPr>
        <w:pStyle w:val="20"/>
        <w:rPr>
          <w:rFonts w:hint="default"/>
          <w:lang w:eastAsia="zh-CN"/>
        </w:rPr>
      </w:pPr>
      <w:bookmarkStart w:id="366" w:name="_Toc28342"/>
      <w:bookmarkStart w:id="367" w:name="_Toc26781_WPSOffice_Level1"/>
      <w:bookmarkStart w:id="368" w:name="_Toc1831"/>
      <w:bookmarkStart w:id="369" w:name="_Toc20551"/>
      <w:r>
        <w:rPr>
          <w:rFonts w:hint="eastAsia"/>
          <w:lang w:val="en-US" w:eastAsia="zh-CN"/>
        </w:rPr>
        <w:t>7.3</w:t>
      </w:r>
      <w:r>
        <w:rPr>
          <w:rFonts w:hint="default"/>
          <w:lang w:eastAsia="zh-CN"/>
        </w:rPr>
        <w:t>信息发布</w:t>
      </w:r>
      <w:bookmarkEnd w:id="366"/>
      <w:bookmarkEnd w:id="367"/>
      <w:bookmarkEnd w:id="368"/>
      <w:bookmarkEnd w:id="369"/>
    </w:p>
    <w:p>
      <w:pPr>
        <w:pStyle w:val="14"/>
        <w:rPr>
          <w:rFonts w:hint="default"/>
        </w:rPr>
      </w:pPr>
      <w:r>
        <w:rPr>
          <w:rFonts w:hint="default"/>
        </w:rPr>
        <w:t>突发环境事件发生后，要及时将现时处置情况发布准确、权威的信息，正确引导社会舆论，并按程序向媒体发布信息。</w:t>
      </w:r>
    </w:p>
    <w:p>
      <w:pPr>
        <w:pStyle w:val="14"/>
        <w:rPr>
          <w:rFonts w:hint="default"/>
        </w:rPr>
      </w:pPr>
      <w:r>
        <w:rPr>
          <w:rFonts w:hint="default"/>
        </w:rPr>
        <w:t>（1）应急期间，应急办负责应急过程的影像记录，应急办人员负责应急过程中的文字记录。相关记录经指挥部审核后，在</w:t>
      </w:r>
      <w:r>
        <w:rPr>
          <w:rFonts w:hint="eastAsia"/>
          <w:lang w:eastAsia="zh-CN"/>
        </w:rPr>
        <w:t>总</w:t>
      </w:r>
      <w:r>
        <w:rPr>
          <w:rFonts w:hint="default"/>
        </w:rPr>
        <w:t>公司网站或电视台发布，或通报其它新闻媒体。</w:t>
      </w:r>
    </w:p>
    <w:p>
      <w:pPr>
        <w:pStyle w:val="14"/>
        <w:rPr>
          <w:rFonts w:hint="default"/>
        </w:rPr>
      </w:pPr>
      <w:r>
        <w:rPr>
          <w:rFonts w:hint="default"/>
        </w:rPr>
        <w:t>（2）应急结束后，应急办依据公正、公开、及时和明确的原则，形成事故通报或应急通报，由指挥部24小时内向新闻媒体通报或上级部门报告。</w:t>
      </w:r>
    </w:p>
    <w:p>
      <w:pPr>
        <w:pStyle w:val="14"/>
        <w:rPr>
          <w:rFonts w:hint="default"/>
        </w:rPr>
      </w:pPr>
      <w:r>
        <w:rPr>
          <w:rFonts w:hint="default"/>
        </w:rPr>
        <w:t>（3）发生员工伤亡及以上事故的，如实报安监部门，由政府有关部门发布事故信息。</w:t>
      </w:r>
    </w:p>
    <w:p>
      <w:pPr>
        <w:pStyle w:val="14"/>
        <w:rPr>
          <w:rFonts w:hint="default"/>
        </w:rPr>
      </w:pPr>
      <w:r>
        <w:rPr>
          <w:rFonts w:hint="default"/>
        </w:rPr>
        <w:t>（4）信息发布内容应包括事故发生的时间、地点、类型和排放污染物的种类、数量、直接经济损失、已采取的应急措施，已污染的范围，潜在的危害程度，转化方式趋向，可能受影响区域及采取的措施建议。</w:t>
      </w:r>
    </w:p>
    <w:p>
      <w:pPr>
        <w:pStyle w:val="20"/>
        <w:rPr>
          <w:rFonts w:hint="default"/>
          <w:lang w:eastAsia="zh-CN"/>
        </w:rPr>
      </w:pPr>
      <w:bookmarkStart w:id="370" w:name="_Toc32532"/>
      <w:bookmarkStart w:id="371" w:name="_Toc12843_WPSOffice_Level1"/>
      <w:bookmarkStart w:id="372" w:name="_Toc1810"/>
      <w:bookmarkStart w:id="373" w:name="_Toc12947"/>
      <w:r>
        <w:rPr>
          <w:rFonts w:hint="eastAsia"/>
          <w:lang w:val="en-US" w:eastAsia="zh-CN"/>
        </w:rPr>
        <w:t>7.4</w:t>
      </w:r>
      <w:r>
        <w:rPr>
          <w:rFonts w:hint="default"/>
          <w:lang w:eastAsia="zh-CN"/>
        </w:rPr>
        <w:t>应急终止</w:t>
      </w:r>
      <w:bookmarkEnd w:id="370"/>
      <w:bookmarkEnd w:id="371"/>
      <w:bookmarkEnd w:id="372"/>
      <w:bookmarkEnd w:id="373"/>
    </w:p>
    <w:p>
      <w:pPr>
        <w:pStyle w:val="21"/>
        <w:rPr>
          <w:rFonts w:hint="default"/>
        </w:rPr>
      </w:pPr>
      <w:bookmarkStart w:id="374" w:name="_Toc32388_WPSOffice_Level2"/>
      <w:bookmarkStart w:id="375" w:name="_Toc21736"/>
      <w:bookmarkStart w:id="376" w:name="_Toc25923"/>
      <w:bookmarkStart w:id="377" w:name="_Toc19877_WPSOffice_Level2"/>
      <w:bookmarkStart w:id="378" w:name="_Toc13448"/>
      <w:r>
        <w:rPr>
          <w:rFonts w:hint="eastAsia"/>
          <w:lang w:val="en-US" w:eastAsia="zh-CN"/>
        </w:rPr>
        <w:t>7.4.1</w:t>
      </w:r>
      <w:r>
        <w:rPr>
          <w:rFonts w:hint="default"/>
        </w:rPr>
        <w:t>应急终止的条件</w:t>
      </w:r>
      <w:bookmarkEnd w:id="374"/>
      <w:bookmarkEnd w:id="375"/>
      <w:bookmarkEnd w:id="376"/>
      <w:bookmarkEnd w:id="377"/>
      <w:bookmarkEnd w:id="378"/>
    </w:p>
    <w:p>
      <w:pPr>
        <w:pStyle w:val="14"/>
        <w:rPr>
          <w:rFonts w:hint="default"/>
        </w:rPr>
      </w:pPr>
      <w:r>
        <w:rPr>
          <w:rFonts w:hint="default"/>
        </w:rPr>
        <w:t xml:space="preserve">符合下列条件之一的，即满足应急终止条件： </w:t>
      </w:r>
    </w:p>
    <w:p>
      <w:pPr>
        <w:pStyle w:val="14"/>
        <w:rPr>
          <w:rFonts w:hint="default"/>
        </w:rPr>
      </w:pPr>
      <w:r>
        <w:rPr>
          <w:rFonts w:hint="default"/>
        </w:rPr>
        <w:t xml:space="preserve">（1）事件现场得到控制，事件条件已经消除。 </w:t>
      </w:r>
    </w:p>
    <w:p>
      <w:pPr>
        <w:pStyle w:val="14"/>
        <w:rPr>
          <w:rFonts w:hint="default"/>
        </w:rPr>
      </w:pPr>
      <w:r>
        <w:rPr>
          <w:rFonts w:hint="default"/>
        </w:rPr>
        <w:t>（2）污染源的泄漏或释放已降至规定限值以内。</w:t>
      </w:r>
    </w:p>
    <w:p>
      <w:pPr>
        <w:pStyle w:val="14"/>
        <w:rPr>
          <w:rFonts w:hint="default"/>
        </w:rPr>
      </w:pPr>
      <w:r>
        <w:rPr>
          <w:rFonts w:hint="default"/>
        </w:rPr>
        <w:t>（3）事件造成的危害已经被消除，无继发可能。</w:t>
      </w:r>
    </w:p>
    <w:p>
      <w:pPr>
        <w:pStyle w:val="14"/>
        <w:rPr>
          <w:rFonts w:hint="default"/>
        </w:rPr>
      </w:pPr>
      <w:r>
        <w:rPr>
          <w:rFonts w:hint="default"/>
        </w:rPr>
        <w:t xml:space="preserve">（4）事件现场的各种专业应急处置行动已无继续的必要。 </w:t>
      </w:r>
    </w:p>
    <w:p>
      <w:pPr>
        <w:pStyle w:val="14"/>
        <w:rPr>
          <w:rFonts w:hint="default"/>
        </w:rPr>
      </w:pPr>
      <w:r>
        <w:rPr>
          <w:rFonts w:hint="default"/>
        </w:rPr>
        <w:t>（5）采取必要的防护措施以保护公众免受再次危害，并使事件可能引起的中长期影响趋于合理且尽量低的水平。</w:t>
      </w:r>
    </w:p>
    <w:p>
      <w:pPr>
        <w:pStyle w:val="21"/>
        <w:rPr>
          <w:rFonts w:hint="default"/>
        </w:rPr>
      </w:pPr>
      <w:bookmarkStart w:id="379" w:name="_Toc5195"/>
      <w:bookmarkStart w:id="380" w:name="_Toc19540_WPSOffice_Level2"/>
      <w:bookmarkStart w:id="381" w:name="_Toc19829"/>
      <w:bookmarkStart w:id="382" w:name="_Toc19370"/>
      <w:bookmarkStart w:id="383" w:name="_Toc6081_WPSOffice_Level2"/>
      <w:r>
        <w:rPr>
          <w:rFonts w:hint="eastAsia"/>
          <w:lang w:val="en-US" w:eastAsia="zh-CN"/>
        </w:rPr>
        <w:t>7.4.2</w:t>
      </w:r>
      <w:r>
        <w:rPr>
          <w:rFonts w:hint="default"/>
        </w:rPr>
        <w:t>应急终止的程序</w:t>
      </w:r>
      <w:bookmarkEnd w:id="379"/>
      <w:bookmarkEnd w:id="380"/>
      <w:bookmarkEnd w:id="381"/>
      <w:bookmarkEnd w:id="382"/>
      <w:bookmarkEnd w:id="383"/>
    </w:p>
    <w:p>
      <w:pPr>
        <w:pStyle w:val="14"/>
        <w:rPr>
          <w:rFonts w:hint="default"/>
        </w:rPr>
      </w:pPr>
      <w:r>
        <w:rPr>
          <w:rFonts w:hint="default"/>
        </w:rPr>
        <w:t>（1）确认终止时机由事件责任部门提出，经现场指挥小组批准，并上报当地政府。</w:t>
      </w:r>
    </w:p>
    <w:p>
      <w:pPr>
        <w:pStyle w:val="14"/>
        <w:rPr>
          <w:rFonts w:hint="default"/>
        </w:rPr>
      </w:pPr>
      <w:r>
        <w:rPr>
          <w:rFonts w:hint="default"/>
        </w:rPr>
        <w:t>（2）现场指挥小组向所属各专业应急救援队伍下达应急终止命令。</w:t>
      </w:r>
    </w:p>
    <w:p>
      <w:pPr>
        <w:pStyle w:val="14"/>
        <w:rPr>
          <w:rFonts w:hint="default"/>
        </w:rPr>
      </w:pPr>
      <w:r>
        <w:rPr>
          <w:rFonts w:hint="default"/>
        </w:rPr>
        <w:t>（3）应急状态终止后，应根据政府有关指示和实际情况，继续进行环境监测和评价工作，直至其他补救措施无须继续进行为止。</w:t>
      </w:r>
    </w:p>
    <w:p>
      <w:pPr>
        <w:pStyle w:val="21"/>
        <w:rPr>
          <w:rFonts w:hint="default"/>
          <w:lang w:val="en-US" w:eastAsia="zh-CN"/>
        </w:rPr>
      </w:pPr>
      <w:bookmarkStart w:id="384" w:name="_Toc11290"/>
      <w:bookmarkStart w:id="385" w:name="_Toc19209_WPSOffice_Level2"/>
      <w:bookmarkStart w:id="386" w:name="_Toc30742_WPSOffice_Level2"/>
      <w:bookmarkStart w:id="387" w:name="_Toc25045"/>
      <w:bookmarkStart w:id="388" w:name="_Toc25583"/>
      <w:r>
        <w:rPr>
          <w:rFonts w:hint="eastAsia"/>
          <w:lang w:val="en-US" w:eastAsia="zh-CN"/>
        </w:rPr>
        <w:t>7.4.3</w:t>
      </w:r>
      <w:r>
        <w:rPr>
          <w:rFonts w:hint="default"/>
          <w:lang w:val="en-US" w:eastAsia="zh-CN"/>
        </w:rPr>
        <w:t>应急终止后的行动</w:t>
      </w:r>
      <w:bookmarkEnd w:id="384"/>
      <w:bookmarkEnd w:id="385"/>
      <w:bookmarkEnd w:id="386"/>
      <w:bookmarkEnd w:id="387"/>
      <w:bookmarkEnd w:id="388"/>
    </w:p>
    <w:p>
      <w:pPr>
        <w:pStyle w:val="14"/>
        <w:rPr>
          <w:rFonts w:hint="default"/>
          <w:lang w:val="en-US" w:eastAsia="zh-CN"/>
        </w:rPr>
      </w:pPr>
      <w:r>
        <w:rPr>
          <w:rFonts w:hint="default" w:ascii="Times New Roman" w:hAnsi="Times New Roman" w:cs="Times New Roman"/>
          <w:b w:val="0"/>
          <w:bCs/>
          <w:color w:val="auto"/>
          <w:highlight w:val="none"/>
          <w:u w:val="none"/>
          <w:lang w:val="en-US" w:eastAsia="zh-CN"/>
        </w:rPr>
        <w:t>（</w:t>
      </w:r>
      <w:r>
        <w:rPr>
          <w:rFonts w:hint="default"/>
          <w:lang w:val="en-US" w:eastAsia="zh-CN"/>
        </w:rPr>
        <w:t>1）通知</w:t>
      </w:r>
      <w:r>
        <w:rPr>
          <w:rFonts w:hint="eastAsia"/>
          <w:lang w:val="en-US" w:eastAsia="zh-CN"/>
        </w:rPr>
        <w:t>污水处理厂</w:t>
      </w:r>
      <w:r>
        <w:rPr>
          <w:rFonts w:hint="default"/>
          <w:lang w:val="en-US" w:eastAsia="zh-CN"/>
        </w:rPr>
        <w:t>各</w:t>
      </w:r>
      <w:r>
        <w:rPr>
          <w:rFonts w:hint="eastAsia"/>
          <w:lang w:val="en-US" w:eastAsia="zh-CN"/>
        </w:rPr>
        <w:t>部门</w:t>
      </w:r>
      <w:r>
        <w:rPr>
          <w:rFonts w:hint="default"/>
          <w:lang w:val="en-US" w:eastAsia="zh-CN"/>
        </w:rPr>
        <w:t>以及附近居民点，危险事故已经得到解除。</w:t>
      </w:r>
    </w:p>
    <w:p>
      <w:pPr>
        <w:pStyle w:val="14"/>
        <w:rPr>
          <w:rFonts w:hint="default"/>
          <w:lang w:val="en-US" w:eastAsia="zh-CN"/>
        </w:rPr>
      </w:pPr>
      <w:r>
        <w:rPr>
          <w:rFonts w:hint="default"/>
          <w:lang w:val="en-US" w:eastAsia="zh-CN"/>
        </w:rPr>
        <w:t>（2）对现场中暴露的员工、应急行动人员和受污染设备进行清洁净化。</w:t>
      </w:r>
    </w:p>
    <w:p>
      <w:pPr>
        <w:pStyle w:val="14"/>
        <w:rPr>
          <w:rFonts w:hint="eastAsia" w:cs="Times New Roman"/>
          <w:color w:val="auto"/>
          <w:highlight w:val="none"/>
          <w:u w:val="none"/>
          <w:lang w:val="en-US" w:eastAsia="zh-CN"/>
        </w:rPr>
      </w:pPr>
      <w:r>
        <w:rPr>
          <w:rFonts w:hint="default"/>
          <w:lang w:val="en-US" w:eastAsia="zh-CN"/>
        </w:rPr>
        <w:t>（3）对于此次发生的环境事故，事故责任部门对起因、过程和结果进行总结，并由事故责任部门依据突发环境事故等级分别向</w:t>
      </w:r>
      <w:r>
        <w:rPr>
          <w:rFonts w:hint="eastAsia"/>
          <w:lang w:val="en-US" w:eastAsia="zh-CN"/>
        </w:rPr>
        <w:t>赣州市经开区</w:t>
      </w:r>
      <w:r>
        <w:rPr>
          <w:rFonts w:hint="default"/>
          <w:lang w:val="en-US" w:eastAsia="zh-CN"/>
        </w:rPr>
        <w:t>环保局、</w:t>
      </w:r>
      <w:r>
        <w:rPr>
          <w:rFonts w:hint="eastAsia"/>
          <w:lang w:val="en-US" w:eastAsia="zh-CN"/>
        </w:rPr>
        <w:t>赣州</w:t>
      </w:r>
      <w:r>
        <w:rPr>
          <w:rFonts w:hint="default"/>
          <w:lang w:val="en-US" w:eastAsia="zh-CN"/>
        </w:rPr>
        <w:t>市环保局及相应的各级人民政府做详细报告。</w:t>
      </w:r>
      <w:bookmarkStart w:id="389" w:name="_Toc18283"/>
      <w:r>
        <w:rPr>
          <w:rFonts w:hint="eastAsia" w:cs="Times New Roman"/>
          <w:color w:val="auto"/>
          <w:highlight w:val="none"/>
          <w:u w:val="none"/>
          <w:lang w:val="en-US" w:eastAsia="zh-CN"/>
        </w:rPr>
        <w:br w:type="page"/>
      </w:r>
    </w:p>
    <w:p>
      <w:pPr>
        <w:pStyle w:val="19"/>
        <w:rPr>
          <w:rFonts w:hint="default"/>
        </w:rPr>
      </w:pPr>
      <w:bookmarkStart w:id="390" w:name="_Toc18030"/>
      <w:bookmarkStart w:id="391" w:name="_Toc27950"/>
      <w:bookmarkStart w:id="392" w:name="_Toc17460_WPSOffice_Level1"/>
      <w:r>
        <w:rPr>
          <w:rFonts w:hint="eastAsia"/>
          <w:lang w:val="en-US" w:eastAsia="zh-CN"/>
        </w:rPr>
        <w:t>8</w:t>
      </w:r>
      <w:r>
        <w:rPr>
          <w:rFonts w:hint="default"/>
        </w:rPr>
        <w:t>后期处置</w:t>
      </w:r>
      <w:bookmarkEnd w:id="389"/>
      <w:bookmarkEnd w:id="390"/>
      <w:bookmarkEnd w:id="391"/>
      <w:bookmarkEnd w:id="392"/>
    </w:p>
    <w:p>
      <w:pPr>
        <w:pStyle w:val="20"/>
      </w:pPr>
      <w:bookmarkStart w:id="393" w:name="_Toc18920"/>
      <w:bookmarkStart w:id="394" w:name="_Toc1885"/>
      <w:bookmarkStart w:id="395" w:name="_Toc15550"/>
      <w:bookmarkStart w:id="396" w:name="_Toc28014_WPSOffice_Level1"/>
      <w:bookmarkStart w:id="397" w:name="_Toc10198"/>
      <w:bookmarkStart w:id="398" w:name="_Toc28027"/>
      <w:bookmarkStart w:id="399" w:name="_Toc23106"/>
      <w:r>
        <w:rPr>
          <w:rFonts w:hint="eastAsia"/>
          <w:lang w:val="en-US" w:eastAsia="zh-CN"/>
        </w:rPr>
        <w:t>8</w:t>
      </w:r>
      <w:r>
        <w:t>.1事件现场的保护措施</w:t>
      </w:r>
      <w:bookmarkEnd w:id="393"/>
      <w:bookmarkEnd w:id="394"/>
      <w:bookmarkEnd w:id="395"/>
      <w:bookmarkEnd w:id="396"/>
    </w:p>
    <w:p>
      <w:pPr>
        <w:pStyle w:val="14"/>
      </w:pPr>
      <w:r>
        <w:t>突发事件发生后，现场救援的同时必须做好事件现场保护工作，迅速采取必要措施，抢救人员和财产。因抢救伤员、防止事件扩大以及疏通交通等原因需要移动现场物件时，应当尽可能做出标志、拍照、详细记录和绘制事件现场图，妥善保存现场重要痕迹、物证等。</w:t>
      </w:r>
    </w:p>
    <w:p>
      <w:pPr>
        <w:pStyle w:val="14"/>
      </w:pPr>
      <w:r>
        <w:t>突发事件发生后，现场指挥人员应保持镇静，现场救援本着“先控制、后处置、救人第一、减少损失”的原则，果断处理，积极抢救，指导现场人员离开危险区域，维护好现场秩序，组织有序疏散，防止惊慌造成挤伤、踩伤等事件。疏散较为困难时，更应沉着冷静，不可采取莽撞措施。</w:t>
      </w:r>
    </w:p>
    <w:p>
      <w:pPr>
        <w:pStyle w:val="14"/>
      </w:pPr>
      <w:r>
        <w:t>在现场救援的同时，尽可能保护好生产设备和贵重物品，维护现场秩序，做好事件现场保护工作，事件有关材料上报单位应急指挥中心，做好善后处理工作。</w:t>
      </w:r>
    </w:p>
    <w:p>
      <w:pPr>
        <w:pStyle w:val="14"/>
      </w:pPr>
      <w:r>
        <w:t>现场保护工作由应急指挥中心领导，由专职安全员协同完成。</w:t>
      </w:r>
    </w:p>
    <w:p>
      <w:pPr>
        <w:pStyle w:val="20"/>
      </w:pPr>
      <w:bookmarkStart w:id="400" w:name="_Toc18473"/>
      <w:bookmarkStart w:id="401" w:name="_Toc4468_WPSOffice_Level1"/>
      <w:bookmarkStart w:id="402" w:name="_Toc13194"/>
      <w:bookmarkStart w:id="403" w:name="_Toc8295"/>
      <w:r>
        <w:rPr>
          <w:rFonts w:hint="eastAsia"/>
          <w:lang w:val="en-US" w:eastAsia="zh-CN"/>
        </w:rPr>
        <w:t>8</w:t>
      </w:r>
      <w:r>
        <w:t>.2确定现场净化方式、方法</w:t>
      </w:r>
      <w:bookmarkEnd w:id="400"/>
      <w:bookmarkEnd w:id="401"/>
      <w:bookmarkEnd w:id="402"/>
      <w:bookmarkEnd w:id="403"/>
    </w:p>
    <w:p>
      <w:pPr>
        <w:pStyle w:val="14"/>
      </w:pPr>
      <w:r>
        <w:t>在应急处置过程中，控制和消除突发污染是整个应急过程必不可少的环节和至关重要的工作。</w:t>
      </w:r>
    </w:p>
    <w:p>
      <w:pPr>
        <w:pStyle w:val="21"/>
      </w:pPr>
      <w:bookmarkStart w:id="404" w:name="_Toc10663_WPSOffice_Level2"/>
      <w:bookmarkStart w:id="405" w:name="_Toc21842"/>
      <w:r>
        <w:rPr>
          <w:rFonts w:hint="eastAsia"/>
          <w:lang w:val="en-US" w:eastAsia="zh-CN"/>
        </w:rPr>
        <w:t>8</w:t>
      </w:r>
      <w:r>
        <w:t>.2.1污染控制措施</w:t>
      </w:r>
      <w:bookmarkEnd w:id="404"/>
      <w:bookmarkEnd w:id="405"/>
    </w:p>
    <w:p>
      <w:pPr>
        <w:pStyle w:val="14"/>
      </w:pPr>
      <w:r>
        <w:t>（1）切断与控制污染源</w:t>
      </w:r>
    </w:p>
    <w:p>
      <w:pPr>
        <w:pStyle w:val="14"/>
      </w:pPr>
      <w:r>
        <w:t>通过采取停产、禁排、封堵、关闭等措施切断污染源，通过限产限排、加大治污效果等措施控制污染源。</w:t>
      </w:r>
    </w:p>
    <w:p>
      <w:pPr>
        <w:pStyle w:val="14"/>
      </w:pPr>
      <w:r>
        <w:t>（2）减轻与消除污染</w:t>
      </w:r>
    </w:p>
    <w:p>
      <w:pPr>
        <w:pStyle w:val="14"/>
      </w:pPr>
      <w:r>
        <w:t>采取中和、固化、沉淀、降解、清理等措施减轻或消除污染，例如投洒药剂、收集污染物返回应急池等。</w:t>
      </w:r>
    </w:p>
    <w:p>
      <w:pPr>
        <w:pStyle w:val="21"/>
      </w:pPr>
      <w:bookmarkStart w:id="406" w:name="_Toc1056_WPSOffice_Level2"/>
      <w:bookmarkStart w:id="407" w:name="_Toc12295"/>
      <w:r>
        <w:rPr>
          <w:rFonts w:hint="eastAsia"/>
          <w:lang w:val="en-US" w:eastAsia="zh-CN"/>
        </w:rPr>
        <w:t>8</w:t>
      </w:r>
      <w:r>
        <w:t>.2.2洗消方式</w:t>
      </w:r>
      <w:bookmarkEnd w:id="406"/>
      <w:bookmarkEnd w:id="407"/>
    </w:p>
    <w:p>
      <w:pPr>
        <w:pStyle w:val="14"/>
      </w:pPr>
      <w:r>
        <w:t>一般在事件救援现场可采用三种洗消方式。</w:t>
      </w:r>
    </w:p>
    <w:p>
      <w:pPr>
        <w:pStyle w:val="14"/>
      </w:pPr>
      <w:r>
        <w:t>（1）源头洗消。在事件发生初期，对事件发生点洗消，将污染源严密控制在最小范围内。</w:t>
      </w:r>
    </w:p>
    <w:p>
      <w:pPr>
        <w:pStyle w:val="14"/>
      </w:pPr>
      <w:r>
        <w:t>（2）隔离洗消。当污染蔓延时，对下风向暴露的厂房、特别高大建筑物喷洒洗消液，抛撒粉状消毒剂，形成保护层，污染降落物流经时即可产生反应，减低甚至消除危害。</w:t>
      </w:r>
    </w:p>
    <w:p>
      <w:pPr>
        <w:pStyle w:val="14"/>
      </w:pPr>
      <w:r>
        <w:t>（3）延伸洗消。在控制住污染源后，从事件发生地开始向下风方向对污染区逐次推进全面而彻底的洗消。</w:t>
      </w:r>
    </w:p>
    <w:p>
      <w:pPr>
        <w:pStyle w:val="20"/>
      </w:pPr>
      <w:bookmarkStart w:id="408" w:name="_Toc17253"/>
      <w:bookmarkStart w:id="409" w:name="_Toc30774"/>
      <w:bookmarkStart w:id="410" w:name="_Toc2938"/>
      <w:bookmarkStart w:id="411" w:name="_Toc19761_WPSOffice_Level1"/>
      <w:r>
        <w:rPr>
          <w:rFonts w:hint="eastAsia"/>
          <w:lang w:val="en-US" w:eastAsia="zh-CN"/>
        </w:rPr>
        <w:t>8</w:t>
      </w:r>
      <w:r>
        <w:t>.3明确事件现场洗消工作的负责人和专业队伍</w:t>
      </w:r>
      <w:bookmarkEnd w:id="408"/>
      <w:bookmarkEnd w:id="409"/>
      <w:bookmarkEnd w:id="410"/>
      <w:bookmarkEnd w:id="411"/>
    </w:p>
    <w:p>
      <w:pPr>
        <w:pStyle w:val="14"/>
      </w:pPr>
      <w:r>
        <w:t>重、特大事件发生后，事件现场洗消工作一定要由专业消防人员进行，其负责人要有专业的资质，洗消队伍必须装备齐全。所有进入轻危区的人员必须佩戴空气呼吸器，对进入重危区的消防人员要加强个人防护，佩戴空气呼吸器、穿着全封闭式防化服，进行逐一登记。</w:t>
      </w:r>
    </w:p>
    <w:p>
      <w:pPr>
        <w:pStyle w:val="20"/>
      </w:pPr>
      <w:bookmarkStart w:id="412" w:name="_Toc13833"/>
      <w:bookmarkStart w:id="413" w:name="_Toc873"/>
      <w:bookmarkStart w:id="414" w:name="_Toc28318"/>
      <w:bookmarkStart w:id="415" w:name="_Toc19896_WPSOffice_Level1"/>
      <w:r>
        <w:rPr>
          <w:rFonts w:hint="eastAsia"/>
          <w:lang w:val="en-US" w:eastAsia="zh-CN"/>
        </w:rPr>
        <w:t>8</w:t>
      </w:r>
      <w:r>
        <w:t>.4洗消后二次污染的防治方案</w:t>
      </w:r>
      <w:bookmarkEnd w:id="412"/>
      <w:bookmarkEnd w:id="413"/>
      <w:bookmarkEnd w:id="414"/>
      <w:bookmarkEnd w:id="415"/>
    </w:p>
    <w:p>
      <w:pPr>
        <w:pStyle w:val="14"/>
      </w:pPr>
      <w:r>
        <w:t>污染事件现场洗消后，要防止二次污染，制定二次污染防治方案，确保无二次污染，并确认污染控制彻底，不会有死灰复燃现象。</w:t>
      </w:r>
    </w:p>
    <w:p>
      <w:pPr>
        <w:pStyle w:val="14"/>
        <w:rPr>
          <w:rFonts w:ascii="Times New Roman" w:hAnsi="Times New Roman"/>
          <w:szCs w:val="24"/>
        </w:rPr>
      </w:pPr>
      <w:r>
        <w:t>根据厂区的实际情况，在消洗过程中用到的化学药品、消防用水采用关闭雨水排口阀门、打开雨水进入污水应急池阀门并通过应急池收集后，统一送有资质单位进行处理。</w:t>
      </w:r>
    </w:p>
    <w:p>
      <w:pPr>
        <w:pStyle w:val="20"/>
        <w:rPr>
          <w:rFonts w:hint="eastAsia"/>
        </w:rPr>
      </w:pPr>
      <w:bookmarkStart w:id="416" w:name="_Toc25275"/>
      <w:bookmarkStart w:id="417" w:name="_Toc28509_WPSOffice_Level1"/>
      <w:r>
        <w:rPr>
          <w:rFonts w:hint="eastAsia"/>
          <w:lang w:val="en-US" w:eastAsia="zh-CN"/>
        </w:rPr>
        <w:t>8</w:t>
      </w:r>
      <w:r>
        <w:rPr>
          <w:rFonts w:hint="eastAsia"/>
        </w:rPr>
        <w:t>.5应急监测</w:t>
      </w:r>
      <w:bookmarkEnd w:id="416"/>
      <w:bookmarkEnd w:id="417"/>
    </w:p>
    <w:p>
      <w:pPr>
        <w:numPr>
          <w:ilvl w:val="0"/>
          <w:numId w:val="4"/>
        </w:numPr>
        <w:spacing w:line="360" w:lineRule="auto"/>
        <w:ind w:firstLine="480" w:firstLineChars="200"/>
        <w:rPr>
          <w:rStyle w:val="15"/>
          <w:rFonts w:hint="eastAsia"/>
          <w:lang w:eastAsia="zh-CN"/>
        </w:rPr>
      </w:pPr>
      <w:bookmarkStart w:id="418" w:name="_Toc12970_WPSOffice_Level2"/>
      <w:r>
        <w:rPr>
          <w:rStyle w:val="15"/>
          <w:rFonts w:hint="eastAsia"/>
          <w:lang w:eastAsia="zh-CN"/>
        </w:rPr>
        <w:t>地表水监测</w:t>
      </w:r>
      <w:bookmarkEnd w:id="418"/>
    </w:p>
    <w:p>
      <w:pPr>
        <w:pStyle w:val="14"/>
        <w:rPr>
          <w:rFonts w:hint="eastAsia"/>
          <w:lang w:val="en-US" w:eastAsia="zh-CN"/>
        </w:rPr>
      </w:pPr>
      <w:r>
        <w:rPr>
          <w:rFonts w:hint="eastAsia"/>
        </w:rPr>
        <w:t>监测采样点：</w:t>
      </w:r>
      <w:r>
        <w:rPr>
          <w:rFonts w:hint="eastAsia"/>
          <w:lang w:eastAsia="zh-CN"/>
        </w:rPr>
        <w:t>废水排放口上游</w:t>
      </w:r>
      <w:r>
        <w:rPr>
          <w:rFonts w:hint="eastAsia"/>
          <w:lang w:val="en-US" w:eastAsia="zh-CN"/>
        </w:rPr>
        <w:t>500m、下游1000m</w:t>
      </w:r>
    </w:p>
    <w:p>
      <w:pPr>
        <w:pStyle w:val="14"/>
      </w:pPr>
      <w:r>
        <w:rPr>
          <w:rFonts w:hint="eastAsia"/>
        </w:rPr>
        <w:t>监测项目：pH、氨氮、高锰酸盐指数、石油类、总硬度、总大肠菌群、总镍。</w:t>
      </w:r>
    </w:p>
    <w:p>
      <w:pPr>
        <w:pStyle w:val="14"/>
        <w:rPr>
          <w:rFonts w:hint="eastAsia"/>
        </w:rPr>
      </w:pPr>
      <w:r>
        <w:rPr>
          <w:rFonts w:hint="eastAsia"/>
        </w:rPr>
        <w:t>监测时间与监测频率：每年</w:t>
      </w:r>
      <w:r>
        <w:t>1</w:t>
      </w:r>
      <w:r>
        <w:rPr>
          <w:rFonts w:hint="eastAsia"/>
        </w:rPr>
        <w:t>次或当厂区发生事故排放。</w:t>
      </w:r>
    </w:p>
    <w:p>
      <w:pPr>
        <w:pStyle w:val="14"/>
        <w:rPr>
          <w:rFonts w:hint="eastAsia" w:eastAsia="宋体"/>
          <w:lang w:eastAsia="zh-CN"/>
        </w:rPr>
      </w:pPr>
      <w:r>
        <w:rPr>
          <w:rFonts w:hint="eastAsia"/>
          <w:lang w:eastAsia="zh-CN"/>
        </w:rPr>
        <w:t>监测主体：赣州市经开区环保局监测站或委托第三方机构</w:t>
      </w:r>
    </w:p>
    <w:p>
      <w:pPr>
        <w:pStyle w:val="14"/>
      </w:pPr>
      <w:bookmarkStart w:id="419" w:name="_Toc19034_WPSOffice_Level2"/>
      <w:r>
        <w:rPr>
          <w:rFonts w:hint="eastAsia"/>
        </w:rPr>
        <w:t>（2）地下水监测</w:t>
      </w:r>
      <w:bookmarkEnd w:id="419"/>
    </w:p>
    <w:p>
      <w:pPr>
        <w:pStyle w:val="14"/>
        <w:rPr>
          <w:rFonts w:hint="eastAsia"/>
        </w:rPr>
      </w:pPr>
      <w:r>
        <w:rPr>
          <w:rFonts w:hint="eastAsia"/>
        </w:rPr>
        <w:t>监测采样点：地下水监测井</w:t>
      </w:r>
    </w:p>
    <w:p>
      <w:pPr>
        <w:pStyle w:val="14"/>
      </w:pPr>
      <w:r>
        <w:rPr>
          <w:rFonts w:hint="eastAsia"/>
        </w:rPr>
        <w:t>监测项目：pH、氨氮、高锰酸盐指数、石油类、总硬度、总大肠菌群、总镍。</w:t>
      </w:r>
    </w:p>
    <w:p>
      <w:pPr>
        <w:pStyle w:val="14"/>
        <w:rPr>
          <w:rFonts w:hint="eastAsia"/>
        </w:rPr>
      </w:pPr>
      <w:r>
        <w:rPr>
          <w:rFonts w:hint="eastAsia"/>
        </w:rPr>
        <w:t>监测时间与监测频率：每年</w:t>
      </w:r>
      <w:r>
        <w:t>1</w:t>
      </w:r>
      <w:r>
        <w:rPr>
          <w:rFonts w:hint="eastAsia"/>
        </w:rPr>
        <w:t>次或当厂区发生事故排放。</w:t>
      </w:r>
    </w:p>
    <w:p>
      <w:pPr>
        <w:pStyle w:val="14"/>
        <w:rPr>
          <w:rFonts w:hint="eastAsia" w:eastAsia="宋体"/>
          <w:lang w:eastAsia="zh-CN"/>
        </w:rPr>
      </w:pPr>
      <w:r>
        <w:rPr>
          <w:rFonts w:hint="eastAsia"/>
          <w:lang w:eastAsia="zh-CN"/>
        </w:rPr>
        <w:t>监测主体：赣州市经开区环保局监测站或委托第三方机构</w:t>
      </w:r>
    </w:p>
    <w:p>
      <w:pPr>
        <w:pStyle w:val="14"/>
        <w:rPr>
          <w:rFonts w:hint="eastAsia"/>
        </w:rPr>
      </w:pPr>
      <w:r>
        <w:rPr>
          <w:rFonts w:hint="eastAsia"/>
        </w:rPr>
        <w:t>制定地下水环境跟踪监测计划：落实跟踪监测报告编制的责任主体，明确地下水环境跟踪监测报告的内容，如水环境跟踪监测数据、排放污染物的种类、数量、浓度。生产设备、管线、贮存装置、事故应急装置等设施的运行情况、跑冒滴漏记录、维修记录等。</w:t>
      </w:r>
    </w:p>
    <w:p>
      <w:pPr>
        <w:pStyle w:val="20"/>
      </w:pPr>
      <w:bookmarkStart w:id="420" w:name="_Toc20384"/>
      <w:bookmarkStart w:id="421" w:name="_Toc19729"/>
      <w:bookmarkStart w:id="422" w:name="_Toc31781"/>
      <w:bookmarkStart w:id="423" w:name="_Toc9586_WPSOffice_Level1"/>
      <w:r>
        <w:rPr>
          <w:rFonts w:hint="eastAsia"/>
          <w:lang w:val="en-US" w:eastAsia="zh-CN"/>
        </w:rPr>
        <w:t>8</w:t>
      </w:r>
      <w:r>
        <w:t>.</w:t>
      </w:r>
      <w:r>
        <w:rPr>
          <w:rFonts w:hint="eastAsia"/>
        </w:rPr>
        <w:t>6</w:t>
      </w:r>
      <w:r>
        <w:t>环境恢复</w:t>
      </w:r>
      <w:bookmarkEnd w:id="420"/>
      <w:bookmarkEnd w:id="421"/>
      <w:bookmarkEnd w:id="422"/>
      <w:bookmarkEnd w:id="423"/>
    </w:p>
    <w:p>
      <w:pPr>
        <w:pStyle w:val="14"/>
      </w:pPr>
      <w:r>
        <w:t>应急终止后，突发环境事件应急指挥中心及企业负责人组织相关人员到现场勘查，对事件地的现场周围的水源、空气环境、生态环境等进行调查，组织专家拿出对受影响的生态环境恢复的措施和方案，恢复周边生态环境，加强生态恢复环境治理措施，确保在一定期限内恢复生态环境平衡。</w:t>
      </w:r>
    </w:p>
    <w:p>
      <w:pPr>
        <w:pStyle w:val="14"/>
      </w:pPr>
      <w:r>
        <w:t>对于厂区以外的环境恢复，企业管理层首先应同</w:t>
      </w:r>
      <w:r>
        <w:rPr>
          <w:rFonts w:hint="eastAsia"/>
          <w:lang w:eastAsia="zh-CN"/>
        </w:rPr>
        <w:t>赣州</w:t>
      </w:r>
      <w:r>
        <w:t>市环保，水利以及气象等部门密切协调，确定突发环境事件对厂区以外区域环境的影响范围和影响程度（包括大气环境，水环境以及生态环境）。其次，结合厂区周边区域土壤条件，气候条件，水资源条件，按照专家意见，制定相关环境恢复计划，并报政府审核，得到确认后由</w:t>
      </w:r>
      <w:r>
        <w:rPr>
          <w:rFonts w:hint="eastAsia"/>
          <w:lang w:eastAsia="zh-CN"/>
        </w:rPr>
        <w:t>污水处理厂</w:t>
      </w:r>
      <w:r>
        <w:t>指定专人负责实施。再次，</w:t>
      </w:r>
      <w:r>
        <w:rPr>
          <w:rFonts w:hint="eastAsia"/>
          <w:lang w:eastAsia="zh-CN"/>
        </w:rPr>
        <w:t>污水处理厂</w:t>
      </w:r>
      <w:r>
        <w:t>应委托环境监测机构对治理前后进行检测（监测周期定为三个月，以后逐渐降低频次），对环境恢复效果进行评估，以便及时发现不足，进行调整。</w:t>
      </w:r>
    </w:p>
    <w:p>
      <w:pPr>
        <w:pStyle w:val="14"/>
      </w:pPr>
      <w:r>
        <w:rPr>
          <w:rFonts w:hint="eastAsia"/>
          <w:lang w:eastAsia="zh-CN"/>
        </w:rPr>
        <w:t>总</w:t>
      </w:r>
      <w:r>
        <w:t>公司每年应拨款作为环境恢复专项资金，由</w:t>
      </w:r>
      <w:r>
        <w:rPr>
          <w:rFonts w:hint="eastAsia"/>
          <w:lang w:eastAsia="zh-CN"/>
        </w:rPr>
        <w:t>污水处理厂</w:t>
      </w:r>
      <w:r>
        <w:t>财务部负责相关资金运转，确保环境恢复资金专款专用。</w:t>
      </w:r>
    </w:p>
    <w:p>
      <w:pPr>
        <w:pStyle w:val="20"/>
      </w:pPr>
      <w:bookmarkStart w:id="424" w:name="_Toc8673"/>
      <w:bookmarkStart w:id="425" w:name="_Toc5116"/>
      <w:bookmarkStart w:id="426" w:name="_Toc10344"/>
      <w:bookmarkStart w:id="427" w:name="_Toc25625_WPSOffice_Level1"/>
      <w:r>
        <w:rPr>
          <w:rFonts w:hint="eastAsia"/>
          <w:lang w:val="en-US" w:eastAsia="zh-CN"/>
        </w:rPr>
        <w:t>8</w:t>
      </w:r>
      <w:r>
        <w:t>.</w:t>
      </w:r>
      <w:r>
        <w:rPr>
          <w:rFonts w:hint="eastAsia"/>
        </w:rPr>
        <w:t>7</w:t>
      </w:r>
      <w:r>
        <w:t>善后赔偿</w:t>
      </w:r>
      <w:bookmarkEnd w:id="424"/>
      <w:bookmarkEnd w:id="425"/>
      <w:bookmarkEnd w:id="426"/>
      <w:bookmarkEnd w:id="427"/>
    </w:p>
    <w:p>
      <w:pPr>
        <w:pStyle w:val="14"/>
      </w:pPr>
      <w:r>
        <w:t>（1）在突发环境事件中致病、致残、死亡的人员，给予相应补助和抚恤。</w:t>
      </w:r>
    </w:p>
    <w:p>
      <w:pPr>
        <w:pStyle w:val="14"/>
      </w:pPr>
      <w:r>
        <w:t>（2）对提供安置场所、应急物资的所有人给予适当补偿。</w:t>
      </w:r>
    </w:p>
    <w:p>
      <w:pPr>
        <w:pStyle w:val="14"/>
      </w:pPr>
      <w:r>
        <w:t>（3）应急指挥中心应积极组织进行突发环境事件现场清理工作，使事发现场恢复到相对稳定、安全的基本状态，防止发生二次污染事件。</w:t>
      </w:r>
    </w:p>
    <w:p>
      <w:pPr>
        <w:pStyle w:val="14"/>
      </w:pPr>
      <w:r>
        <w:t>（4）应急指挥中心应采取有效措施，确保受灾群众的正常生活。</w:t>
      </w:r>
    </w:p>
    <w:p>
      <w:pPr>
        <w:pStyle w:val="20"/>
      </w:pPr>
      <w:bookmarkStart w:id="428" w:name="_Toc30727"/>
      <w:bookmarkStart w:id="429" w:name="_Toc13147"/>
      <w:bookmarkStart w:id="430" w:name="_Toc26598"/>
      <w:bookmarkStart w:id="431" w:name="_Toc12196_WPSOffice_Level1"/>
      <w:r>
        <w:rPr>
          <w:rFonts w:hint="eastAsia"/>
          <w:lang w:val="en-US" w:eastAsia="zh-CN"/>
        </w:rPr>
        <w:t>8</w:t>
      </w:r>
      <w:r>
        <w:t>.</w:t>
      </w:r>
      <w:r>
        <w:rPr>
          <w:rFonts w:hint="eastAsia"/>
        </w:rPr>
        <w:t>8</w:t>
      </w:r>
      <w:r>
        <w:t>事件调查</w:t>
      </w:r>
      <w:bookmarkEnd w:id="428"/>
      <w:bookmarkEnd w:id="429"/>
      <w:bookmarkEnd w:id="430"/>
      <w:bookmarkEnd w:id="431"/>
    </w:p>
    <w:p>
      <w:pPr>
        <w:pStyle w:val="14"/>
      </w:pPr>
      <w:r>
        <w:t>指挥部组织事件调查小组在善后处置阶段应对事发原因、处置经过、损失、责任单位奖惩、援助需求等做出综合调查评估，并及时将调查评估报告报应急指挥部。参与应急救援工作的应急工作组应对本组应急处置工作及时进行总结，并书面报应急办公室，由应急办公室汇总，对应急救援能力进行评估，对应急预案存在的不足进行修正。</w:t>
      </w:r>
    </w:p>
    <w:p>
      <w:pPr>
        <w:pStyle w:val="14"/>
      </w:pPr>
      <w:r>
        <w:t>根据调查评估报告，应急指挥部对在处置安全生产事件中有重大贡献的部门和个人，给予奖励和表彰；对处置安全生产事件中失职、渎职行为的部门和个人，给予处罚和追究其责任。</w:t>
      </w:r>
    </w:p>
    <w:p>
      <w:pPr>
        <w:pStyle w:val="20"/>
      </w:pPr>
      <w:bookmarkStart w:id="432" w:name="_Toc8040"/>
      <w:bookmarkStart w:id="433" w:name="_Toc21282"/>
      <w:bookmarkStart w:id="434" w:name="_Toc723"/>
      <w:bookmarkStart w:id="435" w:name="_Toc30701_WPSOffice_Level1"/>
      <w:r>
        <w:rPr>
          <w:rFonts w:hint="eastAsia"/>
          <w:lang w:val="en-US" w:eastAsia="zh-CN"/>
        </w:rPr>
        <w:t>8</w:t>
      </w:r>
      <w:r>
        <w:t>.</w:t>
      </w:r>
      <w:r>
        <w:rPr>
          <w:rFonts w:hint="eastAsia"/>
        </w:rPr>
        <w:t>9</w:t>
      </w:r>
      <w:r>
        <w:t>应急预案的评估和修订</w:t>
      </w:r>
      <w:bookmarkEnd w:id="432"/>
      <w:bookmarkEnd w:id="433"/>
      <w:bookmarkEnd w:id="434"/>
      <w:bookmarkEnd w:id="435"/>
    </w:p>
    <w:p>
      <w:pPr>
        <w:pStyle w:val="2"/>
        <w:spacing w:line="480" w:lineRule="exact"/>
        <w:ind w:left="0" w:firstLine="480" w:firstLineChars="200"/>
        <w:rPr>
          <w:rFonts w:ascii="Times New Roman" w:hAnsi="Times New Roman"/>
          <w:sz w:val="24"/>
          <w:szCs w:val="24"/>
        </w:rPr>
      </w:pPr>
      <w:r>
        <w:rPr>
          <w:rFonts w:ascii="Times New Roman" w:hAnsi="Times New Roman"/>
          <w:sz w:val="24"/>
          <w:szCs w:val="24"/>
        </w:rPr>
        <w:t>应急预案编制完成后，</w:t>
      </w:r>
      <w:r>
        <w:rPr>
          <w:rFonts w:hint="eastAsia"/>
          <w:sz w:val="24"/>
          <w:szCs w:val="24"/>
          <w:lang w:eastAsia="zh-CN"/>
        </w:rPr>
        <w:t>污水处理厂</w:t>
      </w:r>
      <w:r>
        <w:rPr>
          <w:rFonts w:ascii="Times New Roman" w:hAnsi="Times New Roman"/>
          <w:sz w:val="24"/>
          <w:szCs w:val="24"/>
        </w:rPr>
        <w:t>应急指挥部应定期在进行预案演练或经历环境应急实战后对参与演练和实战的部分进行评审，评审由上级主管部门的人员和专家参加，与时俱进，对预案内容不断充实和完善。</w:t>
      </w:r>
    </w:p>
    <w:p>
      <w:pPr>
        <w:pStyle w:val="2"/>
        <w:spacing w:line="480" w:lineRule="exact"/>
        <w:ind w:left="0" w:firstLine="480" w:firstLineChars="200"/>
        <w:rPr>
          <w:rFonts w:ascii="Times New Roman" w:hAnsi="Times New Roman"/>
          <w:sz w:val="24"/>
          <w:szCs w:val="24"/>
        </w:rPr>
        <w:sectPr>
          <w:pgSz w:w="11906" w:h="16838"/>
          <w:pgMar w:top="1361" w:right="1361" w:bottom="1361" w:left="1474"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sz w:val="24"/>
          <w:szCs w:val="24"/>
        </w:rPr>
        <w:t>邀请环境应急专家、环保主管部门等召开预案评审会，收集对预案中具体内容的补充信息，根据评审会达成的意见及时修改预案内容。</w:t>
      </w:r>
    </w:p>
    <w:p>
      <w:pPr>
        <w:pStyle w:val="19"/>
        <w:rPr>
          <w:rFonts w:hint="default"/>
        </w:rPr>
      </w:pPr>
      <w:bookmarkStart w:id="436" w:name="_Toc6658_WPSOffice_Level1"/>
      <w:r>
        <w:rPr>
          <w:rFonts w:hint="eastAsia"/>
          <w:lang w:val="en-US" w:eastAsia="zh-CN"/>
        </w:rPr>
        <w:t>9</w:t>
      </w:r>
      <w:r>
        <w:rPr>
          <w:rFonts w:hint="default"/>
        </w:rPr>
        <w:t>应急保障</w:t>
      </w:r>
      <w:bookmarkEnd w:id="397"/>
      <w:bookmarkEnd w:id="398"/>
      <w:bookmarkEnd w:id="399"/>
      <w:bookmarkEnd w:id="436"/>
    </w:p>
    <w:p>
      <w:pPr>
        <w:pStyle w:val="14"/>
        <w:rPr>
          <w:rFonts w:hint="default"/>
        </w:rPr>
      </w:pPr>
      <w:r>
        <w:rPr>
          <w:rFonts w:hint="default"/>
        </w:rPr>
        <w:t>应急保障措施主要有：人力资源、技术保障、资金保障、物资装备保障、医疗卫生保障、交通运输保障、通讯与信息保障等方面。</w:t>
      </w:r>
    </w:p>
    <w:p>
      <w:pPr>
        <w:pStyle w:val="20"/>
        <w:rPr>
          <w:rFonts w:hint="default"/>
        </w:rPr>
      </w:pPr>
      <w:bookmarkStart w:id="437" w:name="_Toc20813"/>
      <w:bookmarkStart w:id="438" w:name="_Toc22688"/>
      <w:bookmarkStart w:id="439" w:name="_Toc7719"/>
      <w:bookmarkStart w:id="440" w:name="_Toc4072_WPSOffice_Level1"/>
      <w:r>
        <w:rPr>
          <w:rFonts w:hint="eastAsia"/>
          <w:lang w:val="en-US" w:eastAsia="zh-CN"/>
        </w:rPr>
        <w:t>9.1</w:t>
      </w:r>
      <w:r>
        <w:rPr>
          <w:rFonts w:hint="default"/>
        </w:rPr>
        <w:t>人力资源保障</w:t>
      </w:r>
      <w:bookmarkEnd w:id="437"/>
      <w:bookmarkEnd w:id="438"/>
      <w:bookmarkEnd w:id="439"/>
      <w:bookmarkEnd w:id="440"/>
    </w:p>
    <w:p>
      <w:pPr>
        <w:pStyle w:val="14"/>
        <w:rPr>
          <w:rFonts w:hint="default"/>
        </w:rPr>
      </w:pPr>
      <w:r>
        <w:rPr>
          <w:rFonts w:hint="default"/>
        </w:rPr>
        <w:t>依据自身条件和可能发生的突发环境事件的类型建立应急救援专业队伍，包括：抢险救援队、疏散隔离和安全保卫队、物资保障和运输队、应急环境监测队、医疗救护队、通讯电力保障队和善后处理队等救援队伍，配备先进技术装备，并明确各专业救援队伍的具体职责和任务，定期对各救援队伍进行专业培训、演习，以便在发生环境事件时，在指挥部的统一指挥下，快速、有序、有效地开展应急救援行动以尽快处置事故，使事故的危害降到最低。</w:t>
      </w:r>
    </w:p>
    <w:p>
      <w:pPr>
        <w:pStyle w:val="20"/>
        <w:rPr>
          <w:rFonts w:hint="default"/>
        </w:rPr>
      </w:pPr>
      <w:bookmarkStart w:id="441" w:name="_Toc12731"/>
      <w:bookmarkStart w:id="442" w:name="_Toc6176"/>
      <w:bookmarkStart w:id="443" w:name="_Toc16296"/>
      <w:bookmarkStart w:id="444" w:name="_Toc29432_WPSOffice_Level1"/>
      <w:r>
        <w:rPr>
          <w:rFonts w:hint="eastAsia"/>
          <w:lang w:val="en-US" w:eastAsia="zh-CN"/>
        </w:rPr>
        <w:t>9.2</w:t>
      </w:r>
      <w:r>
        <w:rPr>
          <w:rFonts w:hint="default"/>
          <w:lang w:eastAsia="zh-CN"/>
        </w:rPr>
        <w:t>资金</w:t>
      </w:r>
      <w:r>
        <w:rPr>
          <w:rFonts w:hint="default"/>
        </w:rPr>
        <w:t>保障</w:t>
      </w:r>
      <w:bookmarkEnd w:id="441"/>
      <w:bookmarkEnd w:id="442"/>
      <w:bookmarkEnd w:id="443"/>
      <w:bookmarkEnd w:id="444"/>
    </w:p>
    <w:p>
      <w:pPr>
        <w:pStyle w:val="14"/>
        <w:rPr>
          <w:rFonts w:hint="default"/>
        </w:rPr>
      </w:pPr>
      <w:r>
        <w:rPr>
          <w:rFonts w:hint="default"/>
        </w:rPr>
        <w:t>做好事故预防预警及应急救援所必须的资金储备，主要由环境应急指挥部负责组织储备。应急经费应纳入每年的企业预算，确保应急预案启动之后，能够满足现场救援所需（包括物资以及受灾人员的妥善安置等）。</w:t>
      </w:r>
    </w:p>
    <w:p>
      <w:pPr>
        <w:pStyle w:val="20"/>
        <w:rPr>
          <w:rFonts w:hint="default"/>
        </w:rPr>
      </w:pPr>
      <w:bookmarkStart w:id="445" w:name="_Toc11433"/>
      <w:bookmarkStart w:id="446" w:name="_Toc2968"/>
      <w:bookmarkStart w:id="447" w:name="_Toc1648"/>
      <w:bookmarkStart w:id="448" w:name="_Toc12273_WPSOffice_Level1"/>
      <w:r>
        <w:rPr>
          <w:rFonts w:hint="eastAsia"/>
          <w:lang w:val="en-US" w:eastAsia="zh-CN"/>
        </w:rPr>
        <w:t>9.3</w:t>
      </w:r>
      <w:r>
        <w:rPr>
          <w:rFonts w:hint="default"/>
        </w:rPr>
        <w:t>物资保障</w:t>
      </w:r>
      <w:bookmarkEnd w:id="445"/>
      <w:bookmarkEnd w:id="446"/>
      <w:bookmarkEnd w:id="447"/>
      <w:bookmarkEnd w:id="448"/>
    </w:p>
    <w:p>
      <w:pPr>
        <w:pStyle w:val="14"/>
        <w:rPr>
          <w:rFonts w:hint="default"/>
        </w:rPr>
      </w:pPr>
      <w:r>
        <w:rPr>
          <w:rFonts w:hint="default"/>
        </w:rPr>
        <w:t>应急物资装备保质保量的储备和供应是应急抢险顺利进行的基础保障，</w:t>
      </w:r>
      <w:r>
        <w:rPr>
          <w:rFonts w:hint="eastAsia"/>
          <w:lang w:eastAsia="zh-CN"/>
        </w:rPr>
        <w:t>污水处理厂</w:t>
      </w:r>
      <w:r>
        <w:rPr>
          <w:rFonts w:hint="default"/>
        </w:rPr>
        <w:t>主要由物资保障和运输队负责该项工作，设应急专业物资装备储备和专门的应急物资储备仓库，建立应急物资装备管理条例，做好物资装备储备工作。应急物资仓库设置专人负责，定期检查补充物资，以保证应急需要。</w:t>
      </w:r>
    </w:p>
    <w:p>
      <w:pPr>
        <w:pStyle w:val="14"/>
        <w:rPr>
          <w:rFonts w:hint="default"/>
        </w:rPr>
      </w:pPr>
      <w:r>
        <w:rPr>
          <w:rFonts w:hint="default"/>
        </w:rPr>
        <w:t>根据</w:t>
      </w:r>
      <w:r>
        <w:rPr>
          <w:rFonts w:hint="eastAsia"/>
          <w:lang w:eastAsia="zh-CN"/>
        </w:rPr>
        <w:t>污水处理厂</w:t>
      </w:r>
      <w:r>
        <w:rPr>
          <w:rFonts w:hint="default"/>
        </w:rPr>
        <w:t>可能发生的突发环境污染事件及其相应的抢险方案进行必要的物资装备储备，</w:t>
      </w:r>
      <w:r>
        <w:rPr>
          <w:rFonts w:hint="eastAsia"/>
          <w:lang w:eastAsia="zh-CN"/>
        </w:rPr>
        <w:t>污水处理厂</w:t>
      </w:r>
      <w:r>
        <w:rPr>
          <w:rFonts w:hint="default"/>
        </w:rPr>
        <w:t>主要环境风险单元目前已经配备的和需要补充的应急物资装备</w:t>
      </w:r>
      <w:r>
        <w:rPr>
          <w:rFonts w:hint="eastAsia"/>
          <w:lang w:eastAsia="zh-CN"/>
        </w:rPr>
        <w:t>详见《</w:t>
      </w:r>
      <w:r>
        <w:rPr>
          <w:rFonts w:hint="eastAsia"/>
          <w:lang w:val="en-US" w:eastAsia="zh-CN"/>
        </w:rPr>
        <w:t>赣州经济技术开发区工业污水处理厂突发</w:t>
      </w:r>
      <w:r>
        <w:rPr>
          <w:rFonts w:hint="eastAsia"/>
          <w:lang w:eastAsia="zh-CN"/>
        </w:rPr>
        <w:t>环境应急资源调查报告》</w:t>
      </w:r>
      <w:r>
        <w:rPr>
          <w:rFonts w:hint="default"/>
        </w:rPr>
        <w:t>。</w:t>
      </w:r>
    </w:p>
    <w:p>
      <w:pPr>
        <w:pStyle w:val="20"/>
        <w:rPr>
          <w:rFonts w:hint="default"/>
        </w:rPr>
      </w:pPr>
      <w:bookmarkStart w:id="449" w:name="_Toc26511"/>
      <w:bookmarkStart w:id="450" w:name="_Toc26938_WPSOffice_Level1"/>
      <w:bookmarkStart w:id="451" w:name="_Toc28258"/>
      <w:bookmarkStart w:id="452" w:name="_Toc3547"/>
      <w:r>
        <w:rPr>
          <w:rFonts w:hint="eastAsia"/>
          <w:lang w:val="en-US" w:eastAsia="zh-CN"/>
        </w:rPr>
        <w:t>9.4</w:t>
      </w:r>
      <w:r>
        <w:rPr>
          <w:rFonts w:hint="default"/>
        </w:rPr>
        <w:t>医疗卫生保障</w:t>
      </w:r>
      <w:bookmarkEnd w:id="449"/>
      <w:bookmarkEnd w:id="450"/>
      <w:bookmarkEnd w:id="451"/>
      <w:bookmarkEnd w:id="452"/>
    </w:p>
    <w:p>
      <w:pPr>
        <w:pStyle w:val="14"/>
        <w:rPr>
          <w:rFonts w:hint="default"/>
        </w:rPr>
      </w:pPr>
      <w:r>
        <w:rPr>
          <w:rFonts w:hint="default"/>
        </w:rPr>
        <w:t>配备急救药品箱，一旦突发环境事件引发人员受伤时，轻伤情形立即赶赴现场提供救助药品，未能解决时由救护车辆送至最近医院</w:t>
      </w:r>
      <w:r>
        <w:rPr>
          <w:rFonts w:hint="eastAsia"/>
          <w:lang w:eastAsia="zh-CN"/>
        </w:rPr>
        <w:t>赣州</w:t>
      </w:r>
      <w:r>
        <w:rPr>
          <w:rFonts w:hint="eastAsia"/>
          <w:lang w:val="en-US" w:eastAsia="zh-CN"/>
        </w:rPr>
        <w:t>120第7急救中心</w:t>
      </w:r>
      <w:r>
        <w:rPr>
          <w:rFonts w:hint="default"/>
        </w:rPr>
        <w:t>进行紧急救治，并协助和引导医务人员到达现场。与附近医院形成联动机制，保证应急处置的需要。</w:t>
      </w:r>
    </w:p>
    <w:p>
      <w:pPr>
        <w:pStyle w:val="20"/>
        <w:rPr>
          <w:rFonts w:hint="default"/>
        </w:rPr>
      </w:pPr>
      <w:bookmarkStart w:id="453" w:name="_Toc21792"/>
      <w:bookmarkStart w:id="454" w:name="_Toc17585_WPSOffice_Level1"/>
      <w:bookmarkStart w:id="455" w:name="_Toc28792"/>
      <w:bookmarkStart w:id="456" w:name="_Toc3523"/>
      <w:r>
        <w:rPr>
          <w:rFonts w:hint="eastAsia"/>
          <w:lang w:val="en-US" w:eastAsia="zh-CN"/>
        </w:rPr>
        <w:t>9.5</w:t>
      </w:r>
      <w:r>
        <w:rPr>
          <w:rFonts w:hint="default"/>
          <w:lang w:eastAsia="zh-CN"/>
        </w:rPr>
        <w:t>通信</w:t>
      </w:r>
      <w:r>
        <w:rPr>
          <w:rFonts w:hint="default"/>
        </w:rPr>
        <w:t>保障</w:t>
      </w:r>
      <w:bookmarkEnd w:id="453"/>
      <w:bookmarkEnd w:id="454"/>
      <w:bookmarkEnd w:id="455"/>
      <w:bookmarkEnd w:id="456"/>
    </w:p>
    <w:p>
      <w:pPr>
        <w:pStyle w:val="14"/>
        <w:rPr>
          <w:rFonts w:hint="default"/>
        </w:rPr>
      </w:pPr>
      <w:r>
        <w:rPr>
          <w:rFonts w:hint="default"/>
        </w:rPr>
        <w:t>（1）要建立通信系统维护以及信息采集等制度，明确参与应急活动的所有部门通讯方式，分级联系方式，并提供备用方案和通讯录，配备必要的有线、无线通信器材（如手机、有线电话等），确保本预案启动时各应急部门之间的联络畅通。</w:t>
      </w:r>
    </w:p>
    <w:p>
      <w:pPr>
        <w:pStyle w:val="14"/>
        <w:rPr>
          <w:rFonts w:hint="default"/>
        </w:rPr>
      </w:pPr>
      <w:r>
        <w:rPr>
          <w:rFonts w:hint="default"/>
        </w:rPr>
        <w:t>（2）制定应急状态车辆调遣制度，保障应急情况下应急物资及人员救护的运输需求，必须是车况良好，且配持有效从业资格证件的驾驶员，以防止次生事故发生。</w:t>
      </w:r>
    </w:p>
    <w:p>
      <w:pPr>
        <w:pStyle w:val="14"/>
        <w:rPr>
          <w:rFonts w:hint="default"/>
        </w:rPr>
      </w:pPr>
      <w:r>
        <w:rPr>
          <w:rFonts w:hint="default"/>
        </w:rPr>
        <w:t>（</w:t>
      </w:r>
      <w:r>
        <w:rPr>
          <w:rFonts w:hint="eastAsia"/>
          <w:lang w:val="en-US" w:eastAsia="zh-CN"/>
        </w:rPr>
        <w:t>3</w:t>
      </w:r>
      <w:r>
        <w:rPr>
          <w:rFonts w:hint="default"/>
        </w:rPr>
        <w:t>）定期对车辆进行维护保养，并建立车辆使用登记制度，以保证车辆状态的完好，确保车辆在应急状态时能够迅速出动；</w:t>
      </w:r>
    </w:p>
    <w:p>
      <w:pPr>
        <w:pStyle w:val="14"/>
        <w:rPr>
          <w:rFonts w:hint="default"/>
        </w:rPr>
      </w:pPr>
      <w:r>
        <w:rPr>
          <w:rFonts w:hint="default"/>
        </w:rPr>
        <w:t>（</w:t>
      </w:r>
      <w:r>
        <w:rPr>
          <w:rFonts w:hint="eastAsia"/>
          <w:lang w:val="en-US" w:eastAsia="zh-CN"/>
        </w:rPr>
        <w:t>4</w:t>
      </w:r>
      <w:r>
        <w:rPr>
          <w:rFonts w:hint="default"/>
        </w:rPr>
        <w:t>）应急状态下执行实行24小时值班制度，并随时与应急小组保持联系或电话畅通，确保在紧急情况下车辆调度及时到位。</w:t>
      </w:r>
    </w:p>
    <w:p>
      <w:pPr>
        <w:pStyle w:val="20"/>
        <w:rPr>
          <w:rFonts w:hint="default"/>
        </w:rPr>
      </w:pPr>
      <w:bookmarkStart w:id="457" w:name="_Toc18593"/>
      <w:bookmarkStart w:id="458" w:name="_Toc21641_WPSOffice_Level1"/>
      <w:bookmarkStart w:id="459" w:name="_Toc20022"/>
      <w:bookmarkStart w:id="460" w:name="_Toc2755"/>
      <w:r>
        <w:rPr>
          <w:rFonts w:hint="eastAsia"/>
          <w:lang w:val="en-US" w:eastAsia="zh-CN"/>
        </w:rPr>
        <w:t>9.6</w:t>
      </w:r>
      <w:r>
        <w:rPr>
          <w:rFonts w:hint="default"/>
          <w:lang w:eastAsia="zh-CN"/>
        </w:rPr>
        <w:t>科技支撑</w:t>
      </w:r>
      <w:bookmarkEnd w:id="457"/>
      <w:bookmarkEnd w:id="458"/>
      <w:bookmarkEnd w:id="459"/>
      <w:bookmarkEnd w:id="460"/>
    </w:p>
    <w:p>
      <w:pPr>
        <w:pStyle w:val="14"/>
        <w:rPr>
          <w:rFonts w:hint="eastAsia" w:cs="Times New Roman"/>
          <w:color w:val="auto"/>
          <w:highlight w:val="none"/>
          <w:u w:val="none"/>
          <w:lang w:val="en-US" w:eastAsia="zh-CN"/>
        </w:rPr>
      </w:pPr>
      <w:r>
        <w:rPr>
          <w:rFonts w:hint="default"/>
        </w:rPr>
        <w:t>充分利用现有的技术人才资源和技术设备资源，提供在应急状态下的技术支持。邀请相关的安全生产技术专家或技术人员担任顾问与指导，定期邀请专家对员工进行技术培训，指导事故模拟演练，提供员工现场处置应急事件的技能，同时针对事故隐患进行分析与研究，彻底排查和控制风险隐患。</w:t>
      </w:r>
      <w:bookmarkStart w:id="461" w:name="_Toc9911"/>
      <w:r>
        <w:rPr>
          <w:rFonts w:hint="eastAsia" w:cs="Times New Roman"/>
          <w:color w:val="auto"/>
          <w:highlight w:val="none"/>
          <w:u w:val="none"/>
          <w:lang w:val="en-US" w:eastAsia="zh-CN"/>
        </w:rPr>
        <w:br w:type="page"/>
      </w:r>
    </w:p>
    <w:p>
      <w:pPr>
        <w:pStyle w:val="19"/>
        <w:rPr>
          <w:rFonts w:hint="default"/>
        </w:rPr>
      </w:pPr>
      <w:bookmarkStart w:id="462" w:name="_Toc5035"/>
      <w:bookmarkStart w:id="463" w:name="_Toc21941_WPSOffice_Level1"/>
      <w:bookmarkStart w:id="464" w:name="_Toc14597"/>
      <w:r>
        <w:rPr>
          <w:rFonts w:hint="eastAsia"/>
          <w:lang w:val="en-US" w:eastAsia="zh-CN"/>
        </w:rPr>
        <w:t>10</w:t>
      </w:r>
      <w:r>
        <w:rPr>
          <w:rFonts w:hint="default"/>
        </w:rPr>
        <w:t>预案管理</w:t>
      </w:r>
      <w:bookmarkEnd w:id="461"/>
      <w:bookmarkEnd w:id="462"/>
      <w:bookmarkEnd w:id="463"/>
      <w:bookmarkEnd w:id="464"/>
    </w:p>
    <w:p>
      <w:pPr>
        <w:pStyle w:val="20"/>
        <w:rPr>
          <w:rFonts w:hint="default"/>
        </w:rPr>
      </w:pPr>
      <w:bookmarkStart w:id="465" w:name="_Toc18579"/>
      <w:bookmarkStart w:id="466" w:name="_Toc6380"/>
      <w:bookmarkStart w:id="467" w:name="_Toc27894"/>
      <w:bookmarkStart w:id="468" w:name="_Toc14791_WPSOffice_Level1"/>
      <w:r>
        <w:rPr>
          <w:rFonts w:hint="eastAsia"/>
          <w:lang w:val="en-US" w:eastAsia="zh-CN"/>
        </w:rPr>
        <w:t>10.1</w:t>
      </w:r>
      <w:r>
        <w:rPr>
          <w:rFonts w:hint="default"/>
        </w:rPr>
        <w:t>应急</w:t>
      </w:r>
      <w:r>
        <w:rPr>
          <w:rFonts w:hint="default"/>
          <w:lang w:val="en-US" w:eastAsia="zh-CN"/>
        </w:rPr>
        <w:t>培训和</w:t>
      </w:r>
      <w:r>
        <w:rPr>
          <w:rFonts w:hint="default"/>
        </w:rPr>
        <w:t>演练</w:t>
      </w:r>
      <w:bookmarkEnd w:id="465"/>
      <w:bookmarkEnd w:id="466"/>
      <w:bookmarkEnd w:id="467"/>
      <w:bookmarkEnd w:id="468"/>
    </w:p>
    <w:p>
      <w:pPr>
        <w:pStyle w:val="14"/>
        <w:rPr>
          <w:rFonts w:hint="eastAsia" w:eastAsia="宋体"/>
          <w:lang w:val="en-US" w:eastAsia="zh-CN"/>
        </w:rPr>
      </w:pPr>
      <w:r>
        <w:rPr>
          <w:rFonts w:hint="default"/>
        </w:rPr>
        <w:t>应急指挥办公室负责组织应急救援培训与演练，根据本单位的实际情况，应急演练频次为每年一次</w:t>
      </w:r>
      <w:r>
        <w:rPr>
          <w:rFonts w:hint="eastAsia"/>
          <w:lang w:eastAsia="zh-CN"/>
        </w:rPr>
        <w:t>。风险应急预案的管理维护直接责任人为魏跃林，定期开展应急演练并实施记录措施的责任人为温慧新。</w:t>
      </w:r>
    </w:p>
    <w:p>
      <w:pPr>
        <w:pStyle w:val="21"/>
        <w:rPr>
          <w:rFonts w:hint="default"/>
        </w:rPr>
      </w:pPr>
      <w:bookmarkStart w:id="469" w:name="_Toc6617"/>
      <w:bookmarkStart w:id="470" w:name="_Toc15097_WPSOffice_Level2"/>
      <w:bookmarkStart w:id="471" w:name="_Toc16844_WPSOffice_Level2"/>
      <w:bookmarkStart w:id="472" w:name="_Toc27823"/>
      <w:bookmarkStart w:id="473" w:name="_Toc29504"/>
      <w:r>
        <w:rPr>
          <w:rFonts w:hint="eastAsia"/>
          <w:lang w:val="en-US" w:eastAsia="zh-CN"/>
        </w:rPr>
        <w:t>10.1.1</w:t>
      </w:r>
      <w:r>
        <w:rPr>
          <w:rFonts w:hint="default"/>
          <w:lang w:val="en-US" w:eastAsia="zh-CN"/>
        </w:rPr>
        <w:t>培训</w:t>
      </w:r>
      <w:bookmarkEnd w:id="469"/>
      <w:bookmarkEnd w:id="470"/>
      <w:bookmarkEnd w:id="471"/>
      <w:bookmarkEnd w:id="472"/>
      <w:bookmarkEnd w:id="473"/>
    </w:p>
    <w:p>
      <w:pPr>
        <w:pStyle w:val="14"/>
        <w:rPr>
          <w:rFonts w:hint="default"/>
        </w:rPr>
      </w:pPr>
      <w:r>
        <w:rPr>
          <w:rFonts w:hint="default"/>
        </w:rPr>
        <w:t>本单位事故应急救援和突发环境污染事故处理的人员培训每年开展一次，培训内容为：</w:t>
      </w:r>
    </w:p>
    <w:p>
      <w:pPr>
        <w:pStyle w:val="14"/>
        <w:rPr>
          <w:rFonts w:hint="default"/>
        </w:rPr>
      </w:pPr>
      <w:r>
        <w:rPr>
          <w:rFonts w:hint="default"/>
        </w:rPr>
        <w:t>①针对各岗位可能发生的事故，在紧急情况下如何进行紧急停车、避险、报警的方法。</w:t>
      </w:r>
    </w:p>
    <w:p>
      <w:pPr>
        <w:pStyle w:val="14"/>
        <w:rPr>
          <w:rFonts w:hint="default"/>
        </w:rPr>
      </w:pPr>
      <w:r>
        <w:rPr>
          <w:rFonts w:hint="default"/>
        </w:rPr>
        <w:t>②针对各岗位可能导致人员伤害类别，现场进行紧急救护方法。</w:t>
      </w:r>
    </w:p>
    <w:p>
      <w:pPr>
        <w:pStyle w:val="14"/>
        <w:rPr>
          <w:rFonts w:hint="default"/>
        </w:rPr>
      </w:pPr>
      <w:r>
        <w:rPr>
          <w:rFonts w:hint="default"/>
        </w:rPr>
        <w:t>③针对各岗位可能发生的事故，如何采取有效措施控制事故和避免事故扩大化。</w:t>
      </w:r>
    </w:p>
    <w:p>
      <w:pPr>
        <w:pStyle w:val="14"/>
        <w:rPr>
          <w:rFonts w:hint="default"/>
        </w:rPr>
      </w:pPr>
      <w:r>
        <w:rPr>
          <w:rFonts w:hint="default"/>
        </w:rPr>
        <w:t>④针对可能发生的事故应急救援必须使用的防护装备例如消防服等，学会熟练使用。</w:t>
      </w:r>
    </w:p>
    <w:p>
      <w:pPr>
        <w:pStyle w:val="14"/>
        <w:rPr>
          <w:rFonts w:hint="default"/>
        </w:rPr>
      </w:pPr>
      <w:r>
        <w:rPr>
          <w:rFonts w:hint="default"/>
        </w:rPr>
        <w:t>⑤针对可能发生的事故学习消防器材和各类设备的使用方法。</w:t>
      </w:r>
    </w:p>
    <w:p>
      <w:pPr>
        <w:pStyle w:val="14"/>
        <w:rPr>
          <w:rFonts w:hint="default"/>
        </w:rPr>
      </w:pPr>
      <w:r>
        <w:rPr>
          <w:rFonts w:hint="default"/>
        </w:rPr>
        <w:t>⑥掌握生产单元存在危险化学品特性、健康危害、危险性、急救方法。</w:t>
      </w:r>
    </w:p>
    <w:p>
      <w:pPr>
        <w:pStyle w:val="21"/>
        <w:rPr>
          <w:rFonts w:hint="default"/>
        </w:rPr>
      </w:pPr>
      <w:bookmarkStart w:id="474" w:name="_Toc26934"/>
      <w:bookmarkStart w:id="475" w:name="_Toc26273_WPSOffice_Level2"/>
      <w:bookmarkStart w:id="476" w:name="_Toc9521"/>
      <w:bookmarkStart w:id="477" w:name="_Toc27264"/>
      <w:bookmarkStart w:id="478" w:name="_Toc20116_WPSOffice_Level2"/>
      <w:r>
        <w:rPr>
          <w:rFonts w:hint="eastAsia"/>
          <w:lang w:val="en-US" w:eastAsia="zh-CN"/>
        </w:rPr>
        <w:t>10.1.2</w:t>
      </w:r>
      <w:r>
        <w:rPr>
          <w:rFonts w:hint="default"/>
          <w:lang w:val="en-US" w:eastAsia="zh-CN"/>
        </w:rPr>
        <w:t>演练</w:t>
      </w:r>
      <w:bookmarkEnd w:id="474"/>
      <w:bookmarkEnd w:id="475"/>
      <w:bookmarkEnd w:id="476"/>
      <w:bookmarkEnd w:id="477"/>
      <w:bookmarkEnd w:id="478"/>
    </w:p>
    <w:p>
      <w:pPr>
        <w:pStyle w:val="14"/>
        <w:rPr>
          <w:rFonts w:hint="default"/>
        </w:rPr>
      </w:pPr>
      <w:r>
        <w:rPr>
          <w:rFonts w:hint="default"/>
        </w:rPr>
        <w:t>应急演习根据演习规模不同总的分为桌面演习、功能演习和全面演习。</w:t>
      </w:r>
    </w:p>
    <w:p>
      <w:pPr>
        <w:pStyle w:val="14"/>
        <w:rPr>
          <w:rFonts w:hint="default"/>
        </w:rPr>
      </w:pPr>
      <w:r>
        <w:rPr>
          <w:rFonts w:hint="default"/>
        </w:rPr>
        <w:t>桌面演习是对演习情景进行口头演习，在会议室内举行。由应急组织的代表或关键岗位人员参加的，按照应急预案及其标准工作程序，讨论紧急情况时应采取行动的演习活动。</w:t>
      </w:r>
    </w:p>
    <w:p>
      <w:pPr>
        <w:pStyle w:val="14"/>
        <w:rPr>
          <w:rFonts w:hint="default"/>
        </w:rPr>
      </w:pPr>
      <w:r>
        <w:rPr>
          <w:rFonts w:hint="default"/>
        </w:rPr>
        <w:t>功能演习比桌面演习规模要大，主要目的是针对应急响应功能，检验应急人员以及应急体系的策划和响应能力为主，有更多的应急人员、机构和更多组织的参与。</w:t>
      </w:r>
    </w:p>
    <w:p>
      <w:pPr>
        <w:pStyle w:val="14"/>
        <w:rPr>
          <w:rFonts w:hint="default"/>
        </w:rPr>
      </w:pPr>
      <w:r>
        <w:rPr>
          <w:rFonts w:hint="default"/>
        </w:rPr>
        <w:t>全面演习是针对应急预案中全部或大部分应急响应功能开展的检验、评价，是对应急组织、应急运行能力的演习活动。全面演习一般采取交流互动方式进行。演习过程要求尽量真实，辐射的内容要尽可能全面，调用的应急人员和资源尽可能多。同时要对人员、设备、行动及其他相关方面开展实战性演习，以检验各部门间相互协调的应急响应能力。</w:t>
      </w:r>
    </w:p>
    <w:p>
      <w:pPr>
        <w:pStyle w:val="21"/>
        <w:rPr>
          <w:rFonts w:hint="default" w:ascii="Times New Roman" w:hAnsi="Times New Roman" w:cs="Times New Roman"/>
          <w:color w:val="auto"/>
          <w:highlight w:val="none"/>
          <w:u w:val="none"/>
        </w:rPr>
      </w:pPr>
      <w:bookmarkStart w:id="479" w:name="_Toc17045_WPSOffice_Level2"/>
      <w:bookmarkStart w:id="480" w:name="_Toc21884"/>
      <w:bookmarkStart w:id="481" w:name="_Toc3844"/>
      <w:bookmarkStart w:id="482" w:name="_Toc20066_WPSOffice_Level2"/>
      <w:bookmarkStart w:id="483" w:name="_Toc12296"/>
      <w:r>
        <w:rPr>
          <w:rFonts w:hint="eastAsia" w:hAnsi="Times New Roman" w:cs="Times New Roman"/>
          <w:color w:val="auto"/>
          <w:highlight w:val="none"/>
          <w:u w:val="none"/>
          <w:lang w:val="en-US" w:eastAsia="zh-CN"/>
        </w:rPr>
        <w:t>1</w:t>
      </w:r>
      <w:r>
        <w:rPr>
          <w:rFonts w:hint="eastAsia" w:cs="Times New Roman"/>
          <w:color w:val="auto"/>
          <w:highlight w:val="none"/>
          <w:u w:val="none"/>
          <w:lang w:val="en-US" w:eastAsia="zh-CN"/>
        </w:rPr>
        <w:t>0</w:t>
      </w:r>
      <w:r>
        <w:rPr>
          <w:rFonts w:hint="eastAsia" w:hAnsi="Times New Roman" w:cs="Times New Roman"/>
          <w:color w:val="auto"/>
          <w:highlight w:val="none"/>
          <w:u w:val="none"/>
          <w:lang w:val="en-US" w:eastAsia="zh-CN"/>
        </w:rPr>
        <w:t>.1.3</w:t>
      </w:r>
      <w:r>
        <w:rPr>
          <w:rFonts w:hint="default" w:ascii="Times New Roman" w:hAnsi="Times New Roman" w:cs="Times New Roman"/>
          <w:color w:val="auto"/>
          <w:highlight w:val="none"/>
          <w:u w:val="none"/>
        </w:rPr>
        <w:t>演练频次及范围</w:t>
      </w:r>
      <w:bookmarkEnd w:id="479"/>
      <w:bookmarkEnd w:id="480"/>
      <w:bookmarkEnd w:id="481"/>
      <w:bookmarkEnd w:id="482"/>
      <w:bookmarkEnd w:id="483"/>
    </w:p>
    <w:p>
      <w:pPr>
        <w:pStyle w:val="14"/>
        <w:rPr>
          <w:rFonts w:hint="default"/>
        </w:rPr>
      </w:pPr>
      <w:r>
        <w:rPr>
          <w:rFonts w:hint="default"/>
        </w:rPr>
        <w:t>（1）部门演练（或训练）以报警、报告程序、现场应急处置、紧急疏散等熟悉应急响应和某项应急功能的单项演练，演练频次每年1次以上。</w:t>
      </w:r>
    </w:p>
    <w:p>
      <w:pPr>
        <w:pStyle w:val="14"/>
        <w:rPr>
          <w:rFonts w:hint="default"/>
        </w:rPr>
      </w:pPr>
      <w:r>
        <w:rPr>
          <w:rFonts w:hint="default"/>
        </w:rPr>
        <w:t>（2）</w:t>
      </w:r>
      <w:r>
        <w:rPr>
          <w:rFonts w:hint="eastAsia"/>
          <w:lang w:eastAsia="zh-CN"/>
        </w:rPr>
        <w:t>厂</w:t>
      </w:r>
      <w:r>
        <w:rPr>
          <w:rFonts w:hint="default"/>
        </w:rPr>
        <w:t>级演练以多个应急小组之间或某些外部应急组织之间相互协调进行的演练，</w:t>
      </w:r>
      <w:r>
        <w:rPr>
          <w:rFonts w:hint="eastAsia"/>
          <w:lang w:eastAsia="zh-CN"/>
        </w:rPr>
        <w:t>厂</w:t>
      </w:r>
      <w:r>
        <w:rPr>
          <w:rFonts w:hint="default"/>
        </w:rPr>
        <w:t>级预案全部或部分功能的综合演练，演练频次每年1次以上。</w:t>
      </w:r>
    </w:p>
    <w:p>
      <w:pPr>
        <w:pStyle w:val="14"/>
        <w:rPr>
          <w:rFonts w:hint="default"/>
        </w:rPr>
      </w:pPr>
      <w:r>
        <w:rPr>
          <w:rFonts w:hint="default"/>
        </w:rPr>
        <w:t>（3）与政府有关部门的演练，视政府组织频次情况确定，亦可结合</w:t>
      </w:r>
      <w:r>
        <w:rPr>
          <w:rFonts w:hint="eastAsia"/>
          <w:lang w:eastAsia="zh-CN"/>
        </w:rPr>
        <w:t>厂</w:t>
      </w:r>
      <w:r>
        <w:rPr>
          <w:rFonts w:hint="default"/>
        </w:rPr>
        <w:t>级组织的演练进行。</w:t>
      </w:r>
    </w:p>
    <w:p>
      <w:pPr>
        <w:pStyle w:val="21"/>
        <w:rPr>
          <w:rFonts w:hint="default" w:ascii="Times New Roman" w:hAnsi="Times New Roman" w:cs="Times New Roman"/>
          <w:color w:val="auto"/>
          <w:highlight w:val="none"/>
          <w:u w:val="none"/>
        </w:rPr>
      </w:pPr>
      <w:bookmarkStart w:id="484" w:name="_Toc19349_WPSOffice_Level2"/>
      <w:bookmarkStart w:id="485" w:name="_Toc21961"/>
      <w:bookmarkStart w:id="486" w:name="_Toc19271"/>
      <w:bookmarkStart w:id="487" w:name="_Toc16551"/>
      <w:bookmarkStart w:id="488" w:name="_Toc25351_WPSOffice_Level2"/>
      <w:r>
        <w:rPr>
          <w:rFonts w:hint="eastAsia" w:hAnsi="Times New Roman" w:cs="Times New Roman"/>
          <w:color w:val="auto"/>
          <w:highlight w:val="none"/>
          <w:u w:val="none"/>
          <w:lang w:val="en-US" w:eastAsia="zh-CN"/>
        </w:rPr>
        <w:t>1</w:t>
      </w:r>
      <w:r>
        <w:rPr>
          <w:rFonts w:hint="eastAsia" w:cs="Times New Roman"/>
          <w:color w:val="auto"/>
          <w:highlight w:val="none"/>
          <w:u w:val="none"/>
          <w:lang w:val="en-US" w:eastAsia="zh-CN"/>
        </w:rPr>
        <w:t>0</w:t>
      </w:r>
      <w:r>
        <w:rPr>
          <w:rFonts w:hint="eastAsia" w:hAnsi="Times New Roman" w:cs="Times New Roman"/>
          <w:color w:val="auto"/>
          <w:highlight w:val="none"/>
          <w:u w:val="none"/>
          <w:lang w:val="en-US" w:eastAsia="zh-CN"/>
        </w:rPr>
        <w:t>.1.4</w:t>
      </w:r>
      <w:r>
        <w:rPr>
          <w:rFonts w:hint="default" w:ascii="Times New Roman" w:hAnsi="Times New Roman" w:cs="Times New Roman"/>
          <w:color w:val="auto"/>
          <w:highlight w:val="none"/>
          <w:u w:val="none"/>
        </w:rPr>
        <w:t>演练内容</w:t>
      </w:r>
      <w:bookmarkEnd w:id="484"/>
      <w:bookmarkEnd w:id="485"/>
      <w:bookmarkEnd w:id="486"/>
      <w:bookmarkEnd w:id="487"/>
      <w:bookmarkEnd w:id="488"/>
    </w:p>
    <w:p>
      <w:pPr>
        <w:pStyle w:val="14"/>
        <w:rPr>
          <w:rFonts w:hint="default"/>
        </w:rPr>
      </w:pPr>
      <w:r>
        <w:rPr>
          <w:rFonts w:hint="default" w:ascii="Times New Roman" w:hAnsi="Times New Roman" w:cs="Times New Roman"/>
          <w:color w:val="auto"/>
          <w:highlight w:val="none"/>
          <w:u w:val="none"/>
        </w:rPr>
        <w:t>（</w:t>
      </w:r>
      <w:r>
        <w:rPr>
          <w:rFonts w:hint="default"/>
        </w:rPr>
        <w:t>1）事故报警方式；</w:t>
      </w:r>
    </w:p>
    <w:p>
      <w:pPr>
        <w:pStyle w:val="14"/>
        <w:rPr>
          <w:rFonts w:hint="default"/>
        </w:rPr>
      </w:pPr>
      <w:r>
        <w:rPr>
          <w:rFonts w:hint="default"/>
        </w:rPr>
        <w:t>（2）</w:t>
      </w:r>
      <w:r>
        <w:rPr>
          <w:rFonts w:hint="eastAsia"/>
          <w:lang w:eastAsia="zh-CN"/>
        </w:rPr>
        <w:t>污水处理厂</w:t>
      </w:r>
      <w:r>
        <w:rPr>
          <w:rFonts w:hint="default"/>
        </w:rPr>
        <w:t>内应急抢险；</w:t>
      </w:r>
    </w:p>
    <w:p>
      <w:pPr>
        <w:pStyle w:val="14"/>
        <w:rPr>
          <w:rFonts w:hint="default"/>
        </w:rPr>
      </w:pPr>
      <w:r>
        <w:rPr>
          <w:rFonts w:hint="default"/>
        </w:rPr>
        <w:t>（3）急救与医疗；</w:t>
      </w:r>
    </w:p>
    <w:p>
      <w:pPr>
        <w:pStyle w:val="14"/>
        <w:rPr>
          <w:rFonts w:hint="default"/>
        </w:rPr>
      </w:pPr>
      <w:r>
        <w:rPr>
          <w:rFonts w:hint="default"/>
        </w:rPr>
        <w:t>（4）环境事件处理方法；</w:t>
      </w:r>
    </w:p>
    <w:p>
      <w:pPr>
        <w:pStyle w:val="14"/>
        <w:rPr>
          <w:rFonts w:hint="default"/>
        </w:rPr>
      </w:pPr>
      <w:r>
        <w:rPr>
          <w:rFonts w:hint="default"/>
        </w:rPr>
        <w:t>（5）事故区清点人数及人员控制；</w:t>
      </w:r>
    </w:p>
    <w:p>
      <w:pPr>
        <w:pStyle w:val="14"/>
        <w:rPr>
          <w:rFonts w:hint="default"/>
        </w:rPr>
      </w:pPr>
      <w:r>
        <w:rPr>
          <w:rFonts w:hint="default"/>
        </w:rPr>
        <w:t>（6）交通控制及交通道口的管制；</w:t>
      </w:r>
    </w:p>
    <w:p>
      <w:pPr>
        <w:pStyle w:val="14"/>
        <w:rPr>
          <w:rFonts w:hint="default"/>
        </w:rPr>
      </w:pPr>
      <w:r>
        <w:rPr>
          <w:rFonts w:hint="default"/>
        </w:rPr>
        <w:t>（7）信息报告演习；</w:t>
      </w:r>
    </w:p>
    <w:p>
      <w:pPr>
        <w:pStyle w:val="14"/>
        <w:rPr>
          <w:rFonts w:hint="default"/>
        </w:rPr>
      </w:pPr>
      <w:r>
        <w:rPr>
          <w:rFonts w:hint="default"/>
        </w:rPr>
        <w:t>（8）事故进一步扩大所采取的措施；</w:t>
      </w:r>
    </w:p>
    <w:p>
      <w:pPr>
        <w:pStyle w:val="14"/>
        <w:rPr>
          <w:rFonts w:hint="default"/>
        </w:rPr>
      </w:pPr>
      <w:r>
        <w:rPr>
          <w:rFonts w:hint="default"/>
        </w:rPr>
        <w:t>（9）污染恢复措施。</w:t>
      </w:r>
    </w:p>
    <w:p>
      <w:pPr>
        <w:pStyle w:val="21"/>
        <w:rPr>
          <w:rFonts w:hint="default"/>
        </w:rPr>
      </w:pPr>
      <w:bookmarkStart w:id="489" w:name="_Toc1395"/>
      <w:bookmarkStart w:id="490" w:name="_Toc9584_WPSOffice_Level2"/>
      <w:bookmarkStart w:id="491" w:name="_Toc32569"/>
      <w:bookmarkStart w:id="492" w:name="_Toc23835_WPSOffice_Level2"/>
      <w:bookmarkStart w:id="493" w:name="_Toc5145"/>
      <w:r>
        <w:rPr>
          <w:rFonts w:hint="eastAsia"/>
          <w:lang w:val="en-US" w:eastAsia="zh-CN"/>
        </w:rPr>
        <w:t>10.1.5</w:t>
      </w:r>
      <w:r>
        <w:rPr>
          <w:rFonts w:hint="default"/>
        </w:rPr>
        <w:t>演练演练的组织、评估和总结</w:t>
      </w:r>
      <w:bookmarkEnd w:id="489"/>
      <w:bookmarkEnd w:id="490"/>
      <w:bookmarkEnd w:id="491"/>
      <w:bookmarkEnd w:id="492"/>
      <w:bookmarkEnd w:id="493"/>
    </w:p>
    <w:p>
      <w:pPr>
        <w:pStyle w:val="14"/>
        <w:rPr>
          <w:rFonts w:hint="default"/>
        </w:rPr>
      </w:pPr>
      <w:r>
        <w:rPr>
          <w:rFonts w:hint="default"/>
        </w:rPr>
        <w:t>应急演练由应急办负责组织。</w:t>
      </w:r>
    </w:p>
    <w:p>
      <w:pPr>
        <w:pStyle w:val="14"/>
        <w:rPr>
          <w:rFonts w:hint="default"/>
        </w:rPr>
      </w:pPr>
      <w:r>
        <w:rPr>
          <w:rFonts w:hint="default"/>
        </w:rPr>
        <w:t>应急演练结束后，对演练进行评估和总结，辨识应急预案和程序中的缺陷与不足，对演练过程中的不足项、整改项和改进项进行修订、完善。</w:t>
      </w:r>
    </w:p>
    <w:p>
      <w:pPr>
        <w:pStyle w:val="20"/>
        <w:rPr>
          <w:rFonts w:hint="default"/>
        </w:rPr>
      </w:pPr>
      <w:bookmarkStart w:id="494" w:name="_Toc20228"/>
      <w:bookmarkStart w:id="495" w:name="_Toc26468"/>
      <w:bookmarkStart w:id="496" w:name="_Toc9455"/>
      <w:bookmarkStart w:id="497" w:name="_Toc10682_WPSOffice_Level1"/>
      <w:r>
        <w:rPr>
          <w:rFonts w:hint="eastAsia"/>
          <w:lang w:val="en-US" w:eastAsia="zh-CN"/>
        </w:rPr>
        <w:t>10.2</w:t>
      </w:r>
      <w:r>
        <w:rPr>
          <w:rFonts w:hint="default"/>
        </w:rPr>
        <w:t>宣教培训</w:t>
      </w:r>
      <w:bookmarkEnd w:id="494"/>
      <w:bookmarkEnd w:id="495"/>
      <w:bookmarkEnd w:id="496"/>
      <w:bookmarkEnd w:id="497"/>
    </w:p>
    <w:p>
      <w:pPr>
        <w:pStyle w:val="14"/>
        <w:rPr>
          <w:rFonts w:hint="default"/>
        </w:rPr>
      </w:pPr>
      <w:r>
        <w:rPr>
          <w:rFonts w:hint="default"/>
        </w:rPr>
        <w:t>宣传、培训工作主要由突发环境事件应急指挥部或指定部门负责。</w:t>
      </w:r>
    </w:p>
    <w:p>
      <w:pPr>
        <w:pStyle w:val="21"/>
        <w:rPr>
          <w:rFonts w:hint="default"/>
        </w:rPr>
      </w:pPr>
      <w:bookmarkStart w:id="498" w:name="_Toc14976"/>
      <w:bookmarkStart w:id="499" w:name="_Toc10823_WPSOffice_Level2"/>
      <w:bookmarkStart w:id="500" w:name="_Toc28400"/>
      <w:bookmarkStart w:id="501" w:name="_Toc10315"/>
      <w:bookmarkStart w:id="502" w:name="_Toc5884_WPSOffice_Level2"/>
      <w:r>
        <w:rPr>
          <w:rFonts w:hint="eastAsia"/>
          <w:lang w:val="en-US" w:eastAsia="zh-CN"/>
        </w:rPr>
        <w:t>10.2.1</w:t>
      </w:r>
      <w:r>
        <w:rPr>
          <w:rFonts w:hint="default"/>
        </w:rPr>
        <w:t>宣传</w:t>
      </w:r>
      <w:bookmarkEnd w:id="498"/>
      <w:bookmarkEnd w:id="499"/>
      <w:bookmarkEnd w:id="500"/>
      <w:bookmarkEnd w:id="501"/>
      <w:bookmarkEnd w:id="502"/>
    </w:p>
    <w:p>
      <w:pPr>
        <w:pStyle w:val="14"/>
        <w:rPr>
          <w:rFonts w:hint="default"/>
        </w:rPr>
      </w:pPr>
      <w:r>
        <w:rPr>
          <w:rFonts w:hint="default"/>
        </w:rPr>
        <w:t>加强环境保护科普宣传教育工作，在厂区及周边可能受影响的敏感点、醒目处设置宣传栏等进行宣传，扩大应急管理科普宣教工作覆盖面，普及环境污染事件的预防常识，增强职工及周边可能受影响的居民防范意识和相关心理准备，提高公众对事故的防范意识。</w:t>
      </w:r>
      <w:bookmarkStart w:id="503" w:name="_Toc3031"/>
    </w:p>
    <w:p>
      <w:pPr>
        <w:pStyle w:val="21"/>
        <w:rPr>
          <w:rFonts w:hint="default"/>
        </w:rPr>
      </w:pPr>
      <w:bookmarkStart w:id="504" w:name="_Toc10509"/>
      <w:bookmarkStart w:id="505" w:name="_Toc9782_WPSOffice_Level2"/>
      <w:bookmarkStart w:id="506" w:name="_Toc27632_WPSOffice_Level2"/>
      <w:bookmarkStart w:id="507" w:name="_Toc24432"/>
      <w:r>
        <w:rPr>
          <w:rFonts w:hint="eastAsia"/>
          <w:lang w:val="en-US" w:eastAsia="zh-CN"/>
        </w:rPr>
        <w:t>10.2.2</w:t>
      </w:r>
      <w:r>
        <w:rPr>
          <w:rFonts w:hint="default"/>
        </w:rPr>
        <w:t>培训</w:t>
      </w:r>
      <w:bookmarkEnd w:id="503"/>
      <w:bookmarkEnd w:id="504"/>
      <w:bookmarkEnd w:id="505"/>
      <w:bookmarkEnd w:id="506"/>
      <w:bookmarkEnd w:id="507"/>
    </w:p>
    <w:p>
      <w:pPr>
        <w:pStyle w:val="14"/>
        <w:rPr>
          <w:rFonts w:hint="default"/>
        </w:rPr>
      </w:pPr>
      <w:r>
        <w:rPr>
          <w:rFonts w:hint="eastAsia"/>
          <w:lang w:eastAsia="zh-CN"/>
        </w:rPr>
        <w:t>污水处理厂</w:t>
      </w:r>
      <w:r>
        <w:rPr>
          <w:rFonts w:hint="default"/>
        </w:rPr>
        <w:t>内部每半年开展一次应急培训，培训内容主要包括以下方面：</w:t>
      </w:r>
    </w:p>
    <w:p>
      <w:pPr>
        <w:pStyle w:val="14"/>
        <w:rPr>
          <w:rFonts w:hint="default"/>
        </w:rPr>
      </w:pPr>
      <w:r>
        <w:rPr>
          <w:rFonts w:hint="default"/>
        </w:rPr>
        <w:t>（1）报警：使应急人员了解并掌握如何利用身边的工具报警方法及报告内容，如固话、手机、网络、警钟、电铃、广播、喊话、呼救等。</w:t>
      </w:r>
    </w:p>
    <w:p>
      <w:pPr>
        <w:pStyle w:val="14"/>
        <w:rPr>
          <w:rFonts w:hint="default"/>
        </w:rPr>
      </w:pPr>
      <w:r>
        <w:rPr>
          <w:rFonts w:hint="default"/>
        </w:rPr>
        <w:t>（2）疏散及应急避险：为避免不必要的人员伤亡，应培训现场作业人员、被困人员或其它相关人员如何进行有效的应急疏散，如逃生路线、方法等。</w:t>
      </w:r>
    </w:p>
    <w:p>
      <w:pPr>
        <w:pStyle w:val="14"/>
        <w:rPr>
          <w:rFonts w:hint="default"/>
        </w:rPr>
      </w:pPr>
      <w:r>
        <w:rPr>
          <w:rFonts w:hint="default"/>
        </w:rPr>
        <w:t>（3）火灾（搜救）、抢险应急培训：要求应急队员必须掌握必要的灭火方法、消防器材的使用、危害急救设施等方法。</w:t>
      </w:r>
    </w:p>
    <w:p>
      <w:pPr>
        <w:pStyle w:val="14"/>
        <w:rPr>
          <w:rFonts w:hint="default"/>
        </w:rPr>
      </w:pPr>
      <w:r>
        <w:rPr>
          <w:rFonts w:hint="default"/>
        </w:rPr>
        <w:t>（4）应急专业培训：各医护急救人员、抢险救援人员等专业队伍进行专业培训，提高应急能力。</w:t>
      </w:r>
    </w:p>
    <w:p>
      <w:pPr>
        <w:pStyle w:val="14"/>
        <w:rPr>
          <w:rFonts w:hint="default"/>
        </w:rPr>
      </w:pPr>
      <w:r>
        <w:rPr>
          <w:rFonts w:hint="default"/>
        </w:rPr>
        <w:t>（5）危险化学品急救培训：对盐酸、碘化汞等危险化学品的物理化学性质、危险性的认识及应采取的应急措施和防护措施。</w:t>
      </w:r>
    </w:p>
    <w:p>
      <w:pPr>
        <w:pStyle w:val="14"/>
        <w:rPr>
          <w:rFonts w:hint="default"/>
        </w:rPr>
      </w:pPr>
      <w:r>
        <w:rPr>
          <w:rFonts w:hint="default"/>
        </w:rPr>
        <w:t>（6）现场处置及应急监测培训：对应急监测人员进行自我防护培训及现场应急处置方法培训。</w:t>
      </w:r>
    </w:p>
    <w:p>
      <w:pPr>
        <w:pStyle w:val="20"/>
        <w:rPr>
          <w:rFonts w:hint="default"/>
        </w:rPr>
      </w:pPr>
      <w:bookmarkStart w:id="508" w:name="_Toc13069"/>
      <w:bookmarkStart w:id="509" w:name="_Toc15018"/>
      <w:bookmarkStart w:id="510" w:name="_Toc3409"/>
      <w:bookmarkStart w:id="511" w:name="_Toc19611_WPSOffice_Level1"/>
      <w:r>
        <w:rPr>
          <w:rFonts w:hint="eastAsia"/>
          <w:lang w:val="en-US" w:eastAsia="zh-CN"/>
        </w:rPr>
        <w:t>10.3</w:t>
      </w:r>
      <w:r>
        <w:rPr>
          <w:rFonts w:hint="default"/>
        </w:rPr>
        <w:t>责任与奖惩</w:t>
      </w:r>
      <w:bookmarkEnd w:id="508"/>
      <w:bookmarkEnd w:id="509"/>
      <w:bookmarkEnd w:id="510"/>
      <w:bookmarkEnd w:id="511"/>
    </w:p>
    <w:p>
      <w:pPr>
        <w:pStyle w:val="21"/>
        <w:rPr>
          <w:rFonts w:hint="default"/>
          <w:lang w:val="en-US" w:eastAsia="zh-CN"/>
        </w:rPr>
      </w:pPr>
      <w:bookmarkStart w:id="512" w:name="_Toc1792_WPSOffice_Level2"/>
      <w:bookmarkStart w:id="513" w:name="_Toc6670"/>
      <w:bookmarkStart w:id="514" w:name="_Toc23066"/>
      <w:bookmarkStart w:id="515" w:name="_Toc10201"/>
      <w:bookmarkStart w:id="516" w:name="_Toc15227_WPSOffice_Level2"/>
      <w:r>
        <w:rPr>
          <w:rFonts w:hint="eastAsia"/>
          <w:lang w:val="en-US" w:eastAsia="zh-CN"/>
        </w:rPr>
        <w:t>10.3.1</w:t>
      </w:r>
      <w:r>
        <w:rPr>
          <w:rFonts w:hint="default"/>
          <w:lang w:val="en-US" w:eastAsia="zh-CN"/>
        </w:rPr>
        <w:t>奖励</w:t>
      </w:r>
      <w:bookmarkEnd w:id="512"/>
      <w:bookmarkEnd w:id="513"/>
      <w:bookmarkEnd w:id="514"/>
      <w:bookmarkEnd w:id="515"/>
      <w:bookmarkEnd w:id="516"/>
    </w:p>
    <w:p>
      <w:pPr>
        <w:pStyle w:val="14"/>
        <w:rPr>
          <w:rFonts w:hint="default"/>
          <w:lang w:val="en-US" w:eastAsia="zh-CN"/>
        </w:rPr>
      </w:pPr>
      <w:r>
        <w:rPr>
          <w:rFonts w:hint="default"/>
          <w:lang w:val="en-US" w:eastAsia="zh-CN"/>
        </w:rPr>
        <w:t>奖励分为三种：通告表扬、记功奖励、晋升提级。对于在抢险救援中有功的、挽救受灾人员生命的或者挽救厂内重要物资免受损失的人员，酌情给予一定奖励。</w:t>
      </w:r>
    </w:p>
    <w:p>
      <w:pPr>
        <w:pStyle w:val="14"/>
        <w:rPr>
          <w:rFonts w:hint="default"/>
          <w:lang w:val="en-US" w:eastAsia="zh-CN"/>
        </w:rPr>
      </w:pPr>
      <w:bookmarkStart w:id="517" w:name="_Toc16411_WPSOffice_Level2"/>
      <w:bookmarkStart w:id="518" w:name="_Toc10767_WPSOffice_Level2"/>
      <w:r>
        <w:rPr>
          <w:rFonts w:hint="eastAsia"/>
          <w:lang w:val="en-US" w:eastAsia="zh-CN"/>
        </w:rPr>
        <w:t>1、</w:t>
      </w:r>
      <w:r>
        <w:rPr>
          <w:rFonts w:hint="default"/>
          <w:lang w:val="en-US" w:eastAsia="zh-CN"/>
        </w:rPr>
        <w:t>奖励审批步骤</w:t>
      </w:r>
      <w:bookmarkEnd w:id="517"/>
      <w:bookmarkEnd w:id="518"/>
    </w:p>
    <w:p>
      <w:pPr>
        <w:pStyle w:val="14"/>
        <w:rPr>
          <w:rFonts w:hint="default"/>
          <w:lang w:val="en-US" w:eastAsia="zh-CN"/>
        </w:rPr>
      </w:pPr>
      <w:r>
        <w:rPr>
          <w:rFonts w:hint="default"/>
          <w:lang w:val="en-US" w:eastAsia="zh-CN"/>
        </w:rPr>
        <w:t>员工推荐、本人自荐或部门提名→应急指挥办公室审核→总经理审批。</w:t>
      </w:r>
    </w:p>
    <w:p>
      <w:pPr>
        <w:pStyle w:val="14"/>
        <w:rPr>
          <w:rFonts w:hint="default"/>
          <w:lang w:val="en-US" w:eastAsia="zh-CN"/>
        </w:rPr>
      </w:pPr>
      <w:bookmarkStart w:id="519" w:name="_Toc26385_WPSOffice_Level2"/>
      <w:bookmarkStart w:id="520" w:name="_Toc32039_WPSOffice_Level2"/>
      <w:r>
        <w:rPr>
          <w:rFonts w:hint="eastAsia"/>
          <w:lang w:val="en-US" w:eastAsia="zh-CN"/>
        </w:rPr>
        <w:t>2、</w:t>
      </w:r>
      <w:r>
        <w:rPr>
          <w:rFonts w:hint="default"/>
          <w:lang w:val="en-US" w:eastAsia="zh-CN"/>
        </w:rPr>
        <w:t>奖励条件</w:t>
      </w:r>
      <w:bookmarkEnd w:id="519"/>
      <w:bookmarkEnd w:id="520"/>
    </w:p>
    <w:p>
      <w:pPr>
        <w:pStyle w:val="14"/>
        <w:rPr>
          <w:rFonts w:hint="default"/>
          <w:lang w:val="en-US" w:eastAsia="zh-CN"/>
        </w:rPr>
      </w:pPr>
      <w:r>
        <w:rPr>
          <w:rFonts w:hint="default"/>
          <w:lang w:val="en-US" w:eastAsia="zh-CN"/>
        </w:rPr>
        <w:t>在突发环境事故灾难应急救援有下列表现，给予奖励：</w:t>
      </w:r>
    </w:p>
    <w:p>
      <w:pPr>
        <w:pStyle w:val="14"/>
        <w:rPr>
          <w:rFonts w:hint="default"/>
          <w:lang w:val="en-US" w:eastAsia="zh-CN"/>
        </w:rPr>
      </w:pPr>
      <w:r>
        <w:rPr>
          <w:rFonts w:hint="default"/>
          <w:lang w:val="en-US" w:eastAsia="zh-CN"/>
        </w:rPr>
        <w:t>（1）出色完成应急处置任务，成绩显著的。</w:t>
      </w:r>
    </w:p>
    <w:p>
      <w:pPr>
        <w:pStyle w:val="14"/>
        <w:rPr>
          <w:rFonts w:hint="default"/>
          <w:lang w:val="en-US" w:eastAsia="zh-CN"/>
        </w:rPr>
      </w:pPr>
      <w:r>
        <w:rPr>
          <w:rFonts w:hint="default"/>
          <w:lang w:val="en-US" w:eastAsia="zh-CN"/>
        </w:rPr>
        <w:t>（2）防止或抢救事故灾难有功，使事故风险区和员工的生命、财产免受损失和减少损失的。</w:t>
      </w:r>
    </w:p>
    <w:p>
      <w:pPr>
        <w:pStyle w:val="14"/>
        <w:rPr>
          <w:rFonts w:hint="default"/>
          <w:lang w:val="en-US" w:eastAsia="zh-CN"/>
        </w:rPr>
      </w:pPr>
      <w:r>
        <w:rPr>
          <w:rFonts w:hint="default"/>
          <w:lang w:val="en-US" w:eastAsia="zh-CN"/>
        </w:rPr>
        <w:t>（3）对于应急救援工作提出重大建议，实施效果显著的。</w:t>
      </w:r>
    </w:p>
    <w:p>
      <w:pPr>
        <w:pStyle w:val="14"/>
        <w:rPr>
          <w:rFonts w:hint="default"/>
          <w:lang w:val="en-US" w:eastAsia="zh-CN"/>
        </w:rPr>
      </w:pPr>
      <w:r>
        <w:rPr>
          <w:rFonts w:hint="default"/>
          <w:lang w:val="en-US" w:eastAsia="zh-CN"/>
        </w:rPr>
        <w:t>（4）其他特殊贡献的。</w:t>
      </w:r>
    </w:p>
    <w:p>
      <w:pPr>
        <w:pStyle w:val="21"/>
        <w:rPr>
          <w:rFonts w:hint="default"/>
          <w:lang w:val="en-US" w:eastAsia="zh-CN"/>
        </w:rPr>
      </w:pPr>
      <w:bookmarkStart w:id="521" w:name="_Toc6700_WPSOffice_Level2"/>
      <w:bookmarkStart w:id="522" w:name="_Toc7580"/>
      <w:bookmarkStart w:id="523" w:name="_Toc14128_WPSOffice_Level2"/>
      <w:bookmarkStart w:id="524" w:name="_Toc31517"/>
      <w:bookmarkStart w:id="525" w:name="_Toc16243"/>
      <w:r>
        <w:rPr>
          <w:rFonts w:hint="eastAsia"/>
          <w:lang w:val="en-US" w:eastAsia="zh-CN"/>
        </w:rPr>
        <w:t>10.3.2</w:t>
      </w:r>
      <w:r>
        <w:rPr>
          <w:rFonts w:hint="default"/>
          <w:lang w:val="en-US" w:eastAsia="zh-CN"/>
        </w:rPr>
        <w:t>惩罚</w:t>
      </w:r>
      <w:bookmarkEnd w:id="521"/>
      <w:bookmarkEnd w:id="522"/>
      <w:bookmarkEnd w:id="523"/>
      <w:bookmarkEnd w:id="524"/>
      <w:bookmarkEnd w:id="525"/>
    </w:p>
    <w:p>
      <w:pPr>
        <w:pStyle w:val="14"/>
        <w:rPr>
          <w:rFonts w:hint="default"/>
          <w:lang w:val="en-US" w:eastAsia="zh-CN"/>
        </w:rPr>
      </w:pPr>
      <w:bookmarkStart w:id="526" w:name="_Toc32702_WPSOffice_Level2"/>
      <w:bookmarkStart w:id="527" w:name="_Toc27750_WPSOffice_Level2"/>
      <w:r>
        <w:rPr>
          <w:rFonts w:hint="eastAsia"/>
          <w:lang w:val="en-US" w:eastAsia="zh-CN"/>
        </w:rPr>
        <w:t>1、</w:t>
      </w:r>
      <w:r>
        <w:rPr>
          <w:rFonts w:hint="default"/>
          <w:lang w:val="en-US" w:eastAsia="zh-CN"/>
        </w:rPr>
        <w:t>惩罚形式</w:t>
      </w:r>
      <w:bookmarkEnd w:id="526"/>
      <w:bookmarkEnd w:id="527"/>
    </w:p>
    <w:p>
      <w:pPr>
        <w:pStyle w:val="14"/>
        <w:rPr>
          <w:rFonts w:hint="default"/>
          <w:lang w:val="en-US" w:eastAsia="zh-CN"/>
        </w:rPr>
      </w:pPr>
      <w:r>
        <w:rPr>
          <w:rFonts w:hint="default"/>
          <w:lang w:val="en-US" w:eastAsia="zh-CN"/>
        </w:rPr>
        <w:t>惩罚根据情节的严重程度分为：口头警告、书面警告、通报批评、罚款、辞退等。在追查突发环境事故产生原因时，根据各情况，责任到人，由</w:t>
      </w:r>
      <w:r>
        <w:rPr>
          <w:rFonts w:hint="eastAsia"/>
          <w:lang w:val="en-US" w:eastAsia="zh-CN"/>
        </w:rPr>
        <w:t>污水处理厂</w:t>
      </w:r>
      <w:r>
        <w:rPr>
          <w:rFonts w:hint="default"/>
          <w:lang w:val="en-US" w:eastAsia="zh-CN"/>
        </w:rPr>
        <w:t>领导经讨论后参见本单位奖惩条例决定给予相关人员不同力度的惩罚；若触犯刑法，则移交司法部门处理。</w:t>
      </w:r>
    </w:p>
    <w:p>
      <w:pPr>
        <w:pStyle w:val="14"/>
        <w:rPr>
          <w:rFonts w:hint="default"/>
          <w:lang w:val="en-US" w:eastAsia="zh-CN"/>
        </w:rPr>
      </w:pPr>
      <w:bookmarkStart w:id="528" w:name="_Toc9094_WPSOffice_Level2"/>
      <w:bookmarkStart w:id="529" w:name="_Toc30024_WPSOffice_Level2"/>
      <w:r>
        <w:rPr>
          <w:rFonts w:hint="eastAsia"/>
          <w:lang w:val="en-US" w:eastAsia="zh-CN"/>
        </w:rPr>
        <w:t>2、</w:t>
      </w:r>
      <w:r>
        <w:rPr>
          <w:rFonts w:hint="default"/>
          <w:lang w:val="en-US" w:eastAsia="zh-CN"/>
        </w:rPr>
        <w:t>惩罚情形</w:t>
      </w:r>
      <w:bookmarkEnd w:id="528"/>
      <w:bookmarkEnd w:id="529"/>
    </w:p>
    <w:p>
      <w:pPr>
        <w:pStyle w:val="14"/>
        <w:rPr>
          <w:rFonts w:hint="default"/>
          <w:lang w:val="en-US" w:eastAsia="zh-CN"/>
        </w:rPr>
      </w:pPr>
      <w:r>
        <w:rPr>
          <w:rFonts w:hint="default"/>
          <w:lang w:val="en-US" w:eastAsia="zh-CN"/>
        </w:rPr>
        <w:t>在突发环境事故灾难应急救援有下列行为，给予惩罚：</w:t>
      </w:r>
    </w:p>
    <w:p>
      <w:pPr>
        <w:pStyle w:val="14"/>
        <w:rPr>
          <w:rFonts w:hint="default"/>
          <w:lang w:val="en-US" w:eastAsia="zh-CN"/>
        </w:rPr>
      </w:pPr>
      <w:r>
        <w:rPr>
          <w:rFonts w:hint="default"/>
          <w:lang w:val="en-US" w:eastAsia="zh-CN"/>
        </w:rPr>
        <w:t>①不按照规定制定应急预案，拒绝履行应急准备义务。</w:t>
      </w:r>
    </w:p>
    <w:p>
      <w:pPr>
        <w:pStyle w:val="14"/>
        <w:rPr>
          <w:rFonts w:hint="default"/>
          <w:lang w:val="en-US" w:eastAsia="zh-CN"/>
        </w:rPr>
      </w:pPr>
      <w:r>
        <w:rPr>
          <w:rFonts w:hint="default"/>
          <w:lang w:val="en-US" w:eastAsia="zh-CN"/>
        </w:rPr>
        <w:t>②不按照规定报告，通报事故灾难的真实情况。</w:t>
      </w:r>
    </w:p>
    <w:p>
      <w:pPr>
        <w:pStyle w:val="14"/>
        <w:rPr>
          <w:rFonts w:hint="default"/>
          <w:lang w:val="en-US" w:eastAsia="zh-CN"/>
        </w:rPr>
      </w:pPr>
      <w:r>
        <w:rPr>
          <w:rFonts w:hint="default"/>
          <w:lang w:val="en-US" w:eastAsia="zh-CN"/>
        </w:rPr>
        <w:t>③拒不执行事故应急预案、不服从命令和指挥或在应急响应时临时逃脱的。</w:t>
      </w:r>
    </w:p>
    <w:p>
      <w:pPr>
        <w:pStyle w:val="14"/>
        <w:rPr>
          <w:rFonts w:hint="default"/>
          <w:lang w:val="en-US" w:eastAsia="zh-CN"/>
        </w:rPr>
      </w:pPr>
      <w:r>
        <w:rPr>
          <w:rFonts w:hint="default"/>
          <w:lang w:val="en-US" w:eastAsia="zh-CN"/>
        </w:rPr>
        <w:t>④不保护事故现场，擅自破坏事故现场，销毁事故证据的。</w:t>
      </w:r>
    </w:p>
    <w:p>
      <w:pPr>
        <w:pStyle w:val="14"/>
        <w:rPr>
          <w:rFonts w:hint="default"/>
          <w:lang w:val="en-US" w:eastAsia="zh-CN"/>
        </w:rPr>
      </w:pPr>
      <w:r>
        <w:rPr>
          <w:rFonts w:hint="default"/>
          <w:lang w:val="en-US" w:eastAsia="zh-CN"/>
        </w:rPr>
        <w:t>⑤不配合事故调查的。</w:t>
      </w:r>
    </w:p>
    <w:p>
      <w:pPr>
        <w:pStyle w:val="14"/>
        <w:rPr>
          <w:rFonts w:hint="default" w:ascii="Times New Roman" w:hAnsi="Times New Roman" w:cs="Times New Roman"/>
          <w:b w:val="0"/>
          <w:bCs/>
          <w:color w:val="auto"/>
          <w:highlight w:val="none"/>
          <w:lang w:val="en-US" w:eastAsia="zh-CN"/>
        </w:rPr>
      </w:pPr>
      <w:r>
        <w:rPr>
          <w:rFonts w:hint="default"/>
          <w:lang w:val="en-US" w:eastAsia="zh-CN"/>
        </w:rPr>
        <w:t>事故应急预案中奖励和处罚的条件和内容纳入本</w:t>
      </w:r>
      <w:r>
        <w:rPr>
          <w:rFonts w:hint="eastAsia"/>
          <w:lang w:val="en-US" w:eastAsia="zh-CN"/>
        </w:rPr>
        <w:t>污水处理厂</w:t>
      </w:r>
      <w:r>
        <w:rPr>
          <w:rFonts w:hint="default"/>
          <w:lang w:val="en-US" w:eastAsia="zh-CN"/>
        </w:rPr>
        <w:t>安全生产奖惩制度</w:t>
      </w:r>
      <w:r>
        <w:rPr>
          <w:rFonts w:hint="default" w:ascii="Times New Roman" w:hAnsi="Times New Roman" w:cs="Times New Roman"/>
          <w:b w:val="0"/>
          <w:bCs/>
          <w:color w:val="auto"/>
          <w:highlight w:val="none"/>
          <w:lang w:val="en-US" w:eastAsia="zh-CN"/>
        </w:rPr>
        <w:t>。</w:t>
      </w:r>
    </w:p>
    <w:p>
      <w:pPr>
        <w:pStyle w:val="19"/>
        <w:rPr>
          <w:rFonts w:hint="default" w:ascii="Times New Roman" w:hAnsi="Times New Roman" w:cs="Times New Roman"/>
          <w:color w:val="auto"/>
          <w:highlight w:val="none"/>
          <w:u w:val="none"/>
        </w:rPr>
      </w:pPr>
      <w:bookmarkStart w:id="530" w:name="_Toc17810"/>
      <w:r>
        <w:rPr>
          <w:rFonts w:hint="eastAsia" w:cs="Times New Roman"/>
          <w:color w:val="auto"/>
          <w:highlight w:val="none"/>
          <w:u w:val="none"/>
          <w:lang w:val="en-US" w:eastAsia="zh-CN"/>
        </w:rPr>
        <w:br w:type="page"/>
      </w:r>
      <w:bookmarkStart w:id="531" w:name="_Toc8945"/>
      <w:bookmarkStart w:id="532" w:name="_Toc17143"/>
      <w:bookmarkStart w:id="533" w:name="_Toc30272_WPSOffice_Level1"/>
      <w:r>
        <w:rPr>
          <w:rFonts w:hint="eastAsia" w:cs="Times New Roman"/>
          <w:color w:val="auto"/>
          <w:highlight w:val="none"/>
          <w:u w:val="none"/>
          <w:lang w:val="en-US" w:eastAsia="zh-CN"/>
        </w:rPr>
        <w:t>11</w:t>
      </w:r>
      <w:r>
        <w:rPr>
          <w:rFonts w:hint="default" w:ascii="Times New Roman" w:hAnsi="Times New Roman" w:cs="Times New Roman"/>
          <w:color w:val="auto"/>
          <w:highlight w:val="none"/>
          <w:u w:val="none"/>
          <w:lang w:val="en-US" w:eastAsia="zh-CN"/>
        </w:rPr>
        <w:t>附则</w:t>
      </w:r>
      <w:bookmarkEnd w:id="530"/>
      <w:bookmarkEnd w:id="531"/>
      <w:bookmarkEnd w:id="532"/>
      <w:bookmarkEnd w:id="533"/>
    </w:p>
    <w:p>
      <w:pPr>
        <w:pStyle w:val="20"/>
        <w:rPr>
          <w:rFonts w:hint="default"/>
          <w:lang w:val="en-US"/>
        </w:rPr>
      </w:pPr>
      <w:bookmarkStart w:id="534" w:name="_Toc12387"/>
      <w:bookmarkStart w:id="535" w:name="_Toc24802"/>
      <w:bookmarkStart w:id="536" w:name="_Toc6576"/>
      <w:bookmarkStart w:id="537" w:name="_Toc17192_WPSOffice_Level1"/>
      <w:r>
        <w:rPr>
          <w:rFonts w:hint="eastAsia"/>
          <w:lang w:val="en-US" w:eastAsia="zh-CN"/>
        </w:rPr>
        <w:t>11.1</w:t>
      </w:r>
      <w:r>
        <w:rPr>
          <w:rFonts w:hint="default"/>
          <w:lang w:val="en-US" w:eastAsia="zh-CN"/>
        </w:rPr>
        <w:t>名词术语定义</w:t>
      </w:r>
      <w:bookmarkEnd w:id="534"/>
      <w:bookmarkEnd w:id="535"/>
      <w:bookmarkEnd w:id="536"/>
      <w:bookmarkEnd w:id="537"/>
    </w:p>
    <w:p>
      <w:pPr>
        <w:pStyle w:val="14"/>
        <w:rPr>
          <w:rFonts w:hint="default"/>
          <w:lang w:val="en-US" w:eastAsia="zh-CN"/>
        </w:rPr>
      </w:pPr>
      <w:r>
        <w:rPr>
          <w:rFonts w:hint="default"/>
          <w:lang w:val="en-US" w:eastAsia="zh-CN"/>
        </w:rPr>
        <w:t>环境事故：是指由于违反环境保护法律法规的经济、社会活动与行为，以及意外因素的影响或不可抗拒的自然灾害等原因致使环境受到污染，人体健康受到危害，社会经济与人民群众财产受到损失，造成不良社会影响的突发性事件。</w:t>
      </w:r>
    </w:p>
    <w:p>
      <w:pPr>
        <w:pStyle w:val="14"/>
        <w:rPr>
          <w:rFonts w:hint="default"/>
          <w:lang w:val="en-US" w:eastAsia="zh-CN"/>
        </w:rPr>
      </w:pPr>
      <w:r>
        <w:rPr>
          <w:rFonts w:hint="default"/>
          <w:lang w:val="en-US" w:eastAsia="zh-CN"/>
        </w:rPr>
        <w:t>突发性环境污染事故：指突然发生，造成或者可能造成重大人员伤亡、重大财产损失和对全国或者某一地区的经济社会稳定、政治安定构成重大威胁和损害，有重大社会影响的涉及公共安全的环境事故。</w:t>
      </w:r>
    </w:p>
    <w:p>
      <w:pPr>
        <w:pStyle w:val="14"/>
        <w:rPr>
          <w:rFonts w:hint="default"/>
          <w:lang w:val="en-US" w:eastAsia="zh-CN"/>
        </w:rPr>
      </w:pPr>
      <w:r>
        <w:rPr>
          <w:rFonts w:hint="default"/>
          <w:lang w:val="en-US" w:eastAsia="zh-CN"/>
        </w:rPr>
        <w:t>环境应急：针对可能或已发生的突发性环境污染事故需要立即采取某些超出正常工作程序的行动，以避免事件发生或减轻事件后果的状态，也称为紧急状态；同时也泛指立即采取超出正常工作程序的行动。</w:t>
      </w:r>
    </w:p>
    <w:p>
      <w:pPr>
        <w:pStyle w:val="14"/>
        <w:rPr>
          <w:rFonts w:hint="default"/>
          <w:lang w:val="en-US" w:eastAsia="zh-CN"/>
        </w:rPr>
      </w:pPr>
      <w:r>
        <w:rPr>
          <w:rFonts w:hint="default"/>
          <w:lang w:val="en-US" w:eastAsia="zh-CN"/>
        </w:rPr>
        <w:t>泄漏处理：泄漏处理是指对危险化学品、粉尘、有毒气体等污染源因事件发生泄漏时的所采取的应急处置措施。泄漏处理要及时、得当，避免重大事件的发生。泄漏处理一般分为泄漏源控制和泄漏物处置两部分。</w:t>
      </w:r>
    </w:p>
    <w:p>
      <w:pPr>
        <w:pStyle w:val="14"/>
        <w:rPr>
          <w:rFonts w:hint="default"/>
          <w:lang w:val="en-US" w:eastAsia="zh-CN"/>
        </w:rPr>
      </w:pPr>
      <w:r>
        <w:rPr>
          <w:rFonts w:hint="default"/>
          <w:lang w:val="en-US" w:eastAsia="zh-CN"/>
        </w:rPr>
        <w:t>应急监测：环境应急情况下，为发现和查明环境污染情况和污染范围而进行的环境监测。包括定点监测和动态监测。</w:t>
      </w:r>
    </w:p>
    <w:p>
      <w:pPr>
        <w:pStyle w:val="14"/>
        <w:rPr>
          <w:rFonts w:hint="default"/>
          <w:lang w:val="en-US" w:eastAsia="zh-CN"/>
        </w:rPr>
      </w:pPr>
      <w:r>
        <w:rPr>
          <w:rFonts w:hint="default"/>
          <w:lang w:val="en-US" w:eastAsia="zh-CN"/>
        </w:rPr>
        <w:t>应急演习：为检验应急计划的有效性、应急准备的完善性、应急响应能力的适应性和应急人员的协同性而进行的一种模拟应急响应的实践活动，根据所涉及的内容和范围的不同，可分为单项演习（演练）、综合演习和指挥中心、现场应急组织联合进行的联合演习。</w:t>
      </w:r>
    </w:p>
    <w:p>
      <w:pPr>
        <w:pStyle w:val="20"/>
        <w:rPr>
          <w:rFonts w:hint="default"/>
          <w:lang w:val="en-US" w:eastAsia="zh-CN"/>
        </w:rPr>
      </w:pPr>
      <w:bookmarkStart w:id="538" w:name="_Toc15845"/>
      <w:bookmarkStart w:id="539" w:name="_Toc2184"/>
      <w:bookmarkStart w:id="540" w:name="_Toc1907"/>
      <w:bookmarkStart w:id="541" w:name="_Toc15578_WPSOffice_Level1"/>
      <w:r>
        <w:rPr>
          <w:rFonts w:hint="eastAsia"/>
          <w:lang w:val="en-US" w:eastAsia="zh-CN"/>
        </w:rPr>
        <w:t>11.2</w:t>
      </w:r>
      <w:r>
        <w:rPr>
          <w:rFonts w:hint="default"/>
          <w:lang w:val="en-US" w:eastAsia="zh-CN"/>
        </w:rPr>
        <w:t>预案的制定与修订</w:t>
      </w:r>
      <w:bookmarkEnd w:id="538"/>
      <w:bookmarkEnd w:id="539"/>
      <w:bookmarkEnd w:id="540"/>
      <w:bookmarkEnd w:id="541"/>
    </w:p>
    <w:p>
      <w:pPr>
        <w:pStyle w:val="21"/>
        <w:rPr>
          <w:rFonts w:hint="default"/>
          <w:lang w:val="en-US" w:eastAsia="zh-CN"/>
        </w:rPr>
      </w:pPr>
      <w:bookmarkStart w:id="542" w:name="_Toc21860_WPSOffice_Level2"/>
      <w:bookmarkStart w:id="543" w:name="_Toc6526"/>
      <w:bookmarkStart w:id="544" w:name="_Toc13206"/>
      <w:bookmarkStart w:id="545" w:name="_Toc23430_WPSOffice_Level2"/>
      <w:bookmarkStart w:id="546" w:name="_Toc19266"/>
      <w:r>
        <w:rPr>
          <w:rFonts w:hint="eastAsia"/>
          <w:lang w:val="en-US" w:eastAsia="zh-CN"/>
        </w:rPr>
        <w:t>11.2.1</w:t>
      </w:r>
      <w:r>
        <w:rPr>
          <w:rFonts w:hint="default"/>
          <w:lang w:val="en-US" w:eastAsia="zh-CN"/>
        </w:rPr>
        <w:t>预案制定与修订</w:t>
      </w:r>
      <w:bookmarkEnd w:id="542"/>
      <w:bookmarkEnd w:id="543"/>
      <w:bookmarkEnd w:id="544"/>
      <w:bookmarkEnd w:id="545"/>
      <w:bookmarkEnd w:id="546"/>
    </w:p>
    <w:p>
      <w:pPr>
        <w:numPr>
          <w:ilvl w:val="0"/>
          <w:numId w:val="5"/>
        </w:numPr>
        <w:ind w:left="480" w:leftChars="0" w:firstLine="0" w:firstLineChars="0"/>
        <w:jc w:val="both"/>
        <w:rPr>
          <w:rFonts w:hint="default" w:ascii="Times New Roman" w:hAnsi="Times New Roman" w:cs="Times New Roman"/>
          <w:b w:val="0"/>
          <w:bCs/>
          <w:color w:val="auto"/>
          <w:highlight w:val="none"/>
          <w:lang w:val="en-US" w:eastAsia="zh-CN"/>
        </w:rPr>
      </w:pPr>
      <w:bookmarkStart w:id="547" w:name="_Toc6267_WPSOffice_Level2"/>
      <w:bookmarkStart w:id="548" w:name="_Toc13939_WPSOffice_Level2"/>
      <w:r>
        <w:rPr>
          <w:rFonts w:hint="default" w:ascii="Times New Roman" w:hAnsi="Times New Roman" w:cs="Times New Roman"/>
          <w:b w:val="0"/>
          <w:bCs/>
          <w:color w:val="auto"/>
          <w:highlight w:val="none"/>
          <w:lang w:val="en-US" w:eastAsia="zh-CN"/>
        </w:rPr>
        <w:t>预案制定</w:t>
      </w:r>
      <w:bookmarkEnd w:id="547"/>
      <w:bookmarkEnd w:id="548"/>
    </w:p>
    <w:p>
      <w:pPr>
        <w:pStyle w:val="14"/>
        <w:rPr>
          <w:rFonts w:hint="default"/>
          <w:lang w:val="en-US" w:eastAsia="zh-CN"/>
        </w:rPr>
      </w:pPr>
      <w:r>
        <w:rPr>
          <w:rFonts w:hint="default"/>
          <w:lang w:val="en-US" w:eastAsia="zh-CN"/>
        </w:rPr>
        <w:t>本预案由</w:t>
      </w:r>
      <w:r>
        <w:rPr>
          <w:rFonts w:hint="eastAsia"/>
          <w:lang w:val="en-US" w:eastAsia="zh-CN"/>
        </w:rPr>
        <w:t>江西南大融汇环境技术有限公司</w:t>
      </w:r>
      <w:r>
        <w:rPr>
          <w:rFonts w:hint="default"/>
          <w:lang w:val="en-US" w:eastAsia="zh-CN"/>
        </w:rPr>
        <w:t>编制</w:t>
      </w:r>
      <w:r>
        <w:rPr>
          <w:rFonts w:hint="eastAsia"/>
          <w:lang w:val="en-US" w:eastAsia="zh-CN"/>
        </w:rPr>
        <w:t>，由</w:t>
      </w:r>
      <w:r>
        <w:rPr>
          <w:rFonts w:hint="default"/>
          <w:lang w:val="en-US" w:eastAsia="zh-CN"/>
        </w:rPr>
        <w:t>中节能环保投资发展（江西）有限公司赣州经济技术开发区工业污水处理厂负责解释。</w:t>
      </w:r>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bookmarkStart w:id="549" w:name="_Toc27105_WPSOffice_Level2"/>
      <w:bookmarkStart w:id="550" w:name="_Toc5654_WPSOffice_Level2"/>
      <w:r>
        <w:rPr>
          <w:rFonts w:hint="default" w:ascii="Times New Roman" w:hAnsi="Times New Roman" w:cs="Times New Roman"/>
          <w:b w:val="0"/>
          <w:bCs/>
          <w:color w:val="auto"/>
          <w:highlight w:val="none"/>
          <w:lang w:val="en-US" w:eastAsia="zh-CN"/>
        </w:rPr>
        <w:t>2、预案修订</w:t>
      </w:r>
      <w:bookmarkEnd w:id="549"/>
      <w:bookmarkEnd w:id="550"/>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因下列原因出现不符合项时，应及时对本预案进行修订：</w:t>
      </w:r>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①本单位生产工艺和技术发生变化的；</w:t>
      </w:r>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②相关单位和人员发生变化或者应急组织指挥体系或职责调整的；</w:t>
      </w:r>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③周围环境或者环境敏感点发生变化的；</w:t>
      </w:r>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④环境应急预案依据的法律、法规、规章、标准等发生变化的；</w:t>
      </w:r>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⑤预案演练或突发环境事件应急处置中发现不符合项的；</w:t>
      </w:r>
    </w:p>
    <w:p>
      <w:pPr>
        <w:numPr>
          <w:ilvl w:val="0"/>
          <w:numId w:val="0"/>
        </w:numPr>
        <w:ind w:firstLine="488" w:firstLineChars="200"/>
        <w:jc w:val="both"/>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⑥其他原因。</w:t>
      </w:r>
    </w:p>
    <w:p>
      <w:pPr>
        <w:pStyle w:val="14"/>
        <w:rPr>
          <w:rFonts w:hint="default"/>
          <w:lang w:val="en-US" w:eastAsia="zh-CN"/>
        </w:rPr>
      </w:pPr>
      <w:r>
        <w:rPr>
          <w:rFonts w:hint="default"/>
          <w:lang w:val="en-US" w:eastAsia="zh-CN"/>
        </w:rPr>
        <w:t>随着应急救援相关法律法规的制定、修改和完善，部门职责或应急资源发生变化，或者应急过程中发现存在的问题和出现新的情况，每年对本预案进行修订完善。</w:t>
      </w:r>
    </w:p>
    <w:p>
      <w:pPr>
        <w:pStyle w:val="21"/>
        <w:rPr>
          <w:rFonts w:hint="default"/>
          <w:lang w:val="en-US" w:eastAsia="zh-CN"/>
        </w:rPr>
      </w:pPr>
      <w:bookmarkStart w:id="551" w:name="_Toc31325_WPSOffice_Level2"/>
      <w:bookmarkStart w:id="552" w:name="_Toc5854_WPSOffice_Level2"/>
      <w:bookmarkStart w:id="553" w:name="_Toc8897"/>
      <w:bookmarkStart w:id="554" w:name="_Toc22853"/>
      <w:bookmarkStart w:id="555" w:name="_Toc7513"/>
      <w:r>
        <w:rPr>
          <w:rFonts w:hint="eastAsia"/>
          <w:lang w:val="en-US" w:eastAsia="zh-CN"/>
        </w:rPr>
        <w:t>11.2.2</w:t>
      </w:r>
      <w:r>
        <w:rPr>
          <w:rFonts w:hint="default"/>
          <w:lang w:val="en-US" w:eastAsia="zh-CN"/>
        </w:rPr>
        <w:t>预案实施生效时间</w:t>
      </w:r>
      <w:bookmarkEnd w:id="551"/>
      <w:bookmarkEnd w:id="552"/>
      <w:bookmarkEnd w:id="553"/>
      <w:bookmarkEnd w:id="554"/>
      <w:bookmarkEnd w:id="555"/>
    </w:p>
    <w:p>
      <w:pPr>
        <w:pStyle w:val="14"/>
        <w:rPr>
          <w:rFonts w:hint="eastAsia"/>
          <w:lang w:val="en-US" w:eastAsia="zh-CN"/>
        </w:rPr>
      </w:pPr>
      <w:r>
        <w:rPr>
          <w:rFonts w:hint="default"/>
          <w:lang w:val="en-US" w:eastAsia="zh-CN"/>
        </w:rPr>
        <w:t>本预案自印发之日起实施</w:t>
      </w:r>
      <w:r>
        <w:rPr>
          <w:rFonts w:hint="eastAsia"/>
          <w:lang w:val="en-US" w:eastAsia="zh-CN"/>
        </w:rPr>
        <w:t>。</w:t>
      </w:r>
    </w:p>
    <w:p>
      <w:pPr>
        <w:numPr>
          <w:ilvl w:val="0"/>
          <w:numId w:val="0"/>
        </w:numPr>
        <w:ind w:leftChars="200"/>
        <w:rPr>
          <w:rFonts w:hint="eastAsia" w:ascii="Times New Roman" w:hAnsi="Times New Roman" w:eastAsia="宋体" w:cs="Times New Roman"/>
          <w:color w:val="auto"/>
          <w:szCs w:val="24"/>
          <w:highlight w:val="none"/>
          <w:u w:val="none"/>
          <w:lang w:eastAsia="zh-CN"/>
        </w:rPr>
      </w:pPr>
    </w:p>
    <w:p/>
    <w:sectPr>
      <w:footerReference r:id="rId7"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0" w:num="1"/>
      <w:rtlGutter w:val="0"/>
      <w:docGrid w:type="linesAndChars" w:linePitch="332" w:charSpace="9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ind w:firstLine="0" w:firstLineChars="0"/>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fill on="f" focussize="0,0"/>
              <v:stroke on="f"/>
              <v:imagedata o:title=""/>
              <o:lock v:ext="edit" aspectratio="f"/>
              <v:textbox inset="0mm,0mm,0mm,0mm" style="mso-fit-shape-to-text:t;">
                <w:txbxContent>
                  <w:p>
                    <w:pPr>
                      <w:pStyle w:val="8"/>
                      <w:ind w:firstLine="0" w:firstLineChars="0"/>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v:textbox>
            </v:shape>
          </w:pict>
        </mc:Fallback>
      </mc:AlternateContent>
    </w:r>
  </w:p>
  <w:p>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lang w:eastAsia="zh-CN"/>
      </w:rPr>
      <w:t>赣州经济技术开发区工业污水处理厂</w:t>
    </w:r>
    <w:r>
      <w:rPr>
        <w:rFonts w:hint="eastAsia"/>
        <w:lang w:val="en-US" w:eastAsia="zh-CN"/>
      </w:rPr>
      <w:t>突发环境事件应急预案</w:t>
    </w:r>
    <w:r>
      <w:rPr>
        <w:rFonts w:hint="eastAsia"/>
      </w:rPr>
      <w:t>（</w:t>
    </w:r>
    <w:r>
      <w:t>201</w:t>
    </w:r>
    <w:r>
      <w:rPr>
        <w:rFonts w:hint="eastAsia"/>
        <w:lang w:val="en-US" w:eastAsia="zh-CN"/>
      </w:rPr>
      <w:t>8</w:t>
    </w:r>
    <w:r>
      <w:rPr>
        <w:rFonts w:hint="eastAsia"/>
      </w:rPr>
      <w:t>年第一版）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lang w:eastAsia="zh-CN"/>
      </w:rPr>
      <w:t>赣州经济技术开发区工业污水处理厂</w:t>
    </w:r>
    <w:r>
      <w:rPr>
        <w:rFonts w:hint="eastAsia"/>
        <w:lang w:val="en-US" w:eastAsia="zh-CN"/>
      </w:rPr>
      <w:t>突发环境事件应急预案</w:t>
    </w:r>
    <w:r>
      <w:rPr>
        <w:rFonts w:hint="eastAsia"/>
      </w:rPr>
      <w:t>（</w:t>
    </w:r>
    <w:r>
      <w:t>201</w:t>
    </w:r>
    <w:r>
      <w:rPr>
        <w:rFonts w:hint="eastAsia"/>
        <w:lang w:val="en-US" w:eastAsia="zh-CN"/>
      </w:rPr>
      <w:t>8</w:t>
    </w:r>
    <w:r>
      <w:rPr>
        <w:rFonts w:hint="eastAsia"/>
      </w:rPr>
      <w:t>年第一版）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418E97"/>
    <w:multiLevelType w:val="singleLevel"/>
    <w:tmpl w:val="BA418E97"/>
    <w:lvl w:ilvl="0" w:tentative="0">
      <w:start w:val="1"/>
      <w:numFmt w:val="decimal"/>
      <w:suff w:val="nothing"/>
      <w:lvlText w:val="%1、"/>
      <w:lvlJc w:val="left"/>
    </w:lvl>
  </w:abstractNum>
  <w:abstractNum w:abstractNumId="1">
    <w:nsid w:val="C8DD1258"/>
    <w:multiLevelType w:val="singleLevel"/>
    <w:tmpl w:val="C8DD1258"/>
    <w:lvl w:ilvl="0" w:tentative="0">
      <w:start w:val="1"/>
      <w:numFmt w:val="decimal"/>
      <w:suff w:val="nothing"/>
      <w:lvlText w:val="%1、"/>
      <w:lvlJc w:val="left"/>
      <w:pPr>
        <w:ind w:left="480" w:firstLine="0"/>
      </w:pPr>
    </w:lvl>
  </w:abstractNum>
  <w:abstractNum w:abstractNumId="2">
    <w:nsid w:val="DCB5C1F5"/>
    <w:multiLevelType w:val="singleLevel"/>
    <w:tmpl w:val="DCB5C1F5"/>
    <w:lvl w:ilvl="0" w:tentative="0">
      <w:start w:val="1"/>
      <w:numFmt w:val="decimal"/>
      <w:suff w:val="nothing"/>
      <w:lvlText w:val="（%1）"/>
      <w:lvlJc w:val="left"/>
    </w:lvl>
  </w:abstractNum>
  <w:abstractNum w:abstractNumId="3">
    <w:nsid w:val="2890A8B9"/>
    <w:multiLevelType w:val="singleLevel"/>
    <w:tmpl w:val="2890A8B9"/>
    <w:lvl w:ilvl="0" w:tentative="0">
      <w:start w:val="1"/>
      <w:numFmt w:val="decimal"/>
      <w:suff w:val="nothing"/>
      <w:lvlText w:val="（%1）"/>
      <w:lvlJc w:val="left"/>
    </w:lvl>
  </w:abstractNum>
  <w:abstractNum w:abstractNumId="4">
    <w:nsid w:val="63893D1F"/>
    <w:multiLevelType w:val="multilevel"/>
    <w:tmpl w:val="63893D1F"/>
    <w:lvl w:ilvl="0" w:tentative="0">
      <w:start w:val="1"/>
      <w:numFmt w:val="decimal"/>
      <w:pStyle w:val="3"/>
      <w:suff w:val="space"/>
      <w:lvlText w:val="%1"/>
      <w:lvlJc w:val="left"/>
      <w:pPr>
        <w:ind w:left="425" w:hanging="425"/>
      </w:pPr>
      <w:rPr>
        <w:rFonts w:hint="eastAsia"/>
      </w:rPr>
    </w:lvl>
    <w:lvl w:ilvl="1" w:tentative="0">
      <w:start w:val="1"/>
      <w:numFmt w:val="decimal"/>
      <w:suff w:val="space"/>
      <w:lvlText w:val="%1.%2"/>
      <w:lvlJc w:val="left"/>
      <w:pPr>
        <w:ind w:left="992" w:hanging="567"/>
      </w:pPr>
      <w:rPr>
        <w:rFonts w:hint="eastAsia"/>
      </w:rPr>
    </w:lvl>
    <w:lvl w:ilvl="2" w:tentative="0">
      <w:start w:val="1"/>
      <w:numFmt w:val="decimal"/>
      <w:suff w:val="space"/>
      <w:lvlText w:val="%1.%2.%3"/>
      <w:lvlJc w:val="left"/>
      <w:pPr>
        <w:ind w:left="1418" w:hanging="567"/>
      </w:pPr>
      <w:rPr>
        <w:rFonts w:hint="eastAsia"/>
        <w:lang w:val="en-US"/>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7A3F7A"/>
    <w:rsid w:val="065038BF"/>
    <w:rsid w:val="091504B9"/>
    <w:rsid w:val="0B9C65F5"/>
    <w:rsid w:val="107A3F7A"/>
    <w:rsid w:val="15815363"/>
    <w:rsid w:val="18587B83"/>
    <w:rsid w:val="18F030EF"/>
    <w:rsid w:val="1B2D2E8F"/>
    <w:rsid w:val="1C0F4E8E"/>
    <w:rsid w:val="1C3C211D"/>
    <w:rsid w:val="1FCD4B58"/>
    <w:rsid w:val="226D6367"/>
    <w:rsid w:val="234F73EC"/>
    <w:rsid w:val="24616EBA"/>
    <w:rsid w:val="26B9389C"/>
    <w:rsid w:val="28F7140E"/>
    <w:rsid w:val="292A34AA"/>
    <w:rsid w:val="309D50C5"/>
    <w:rsid w:val="30B07E6E"/>
    <w:rsid w:val="33F313DF"/>
    <w:rsid w:val="35903064"/>
    <w:rsid w:val="3634733E"/>
    <w:rsid w:val="377D036B"/>
    <w:rsid w:val="38927930"/>
    <w:rsid w:val="39773E57"/>
    <w:rsid w:val="3DCE7128"/>
    <w:rsid w:val="421F38B4"/>
    <w:rsid w:val="46BA3F33"/>
    <w:rsid w:val="46BE6345"/>
    <w:rsid w:val="48CC4056"/>
    <w:rsid w:val="4B8D6B83"/>
    <w:rsid w:val="4CA555A3"/>
    <w:rsid w:val="4FC83A9E"/>
    <w:rsid w:val="53427955"/>
    <w:rsid w:val="54352095"/>
    <w:rsid w:val="57D205B9"/>
    <w:rsid w:val="58701178"/>
    <w:rsid w:val="59BF481C"/>
    <w:rsid w:val="5BEC098A"/>
    <w:rsid w:val="5E4E45E1"/>
    <w:rsid w:val="5E524B78"/>
    <w:rsid w:val="64095A56"/>
    <w:rsid w:val="682E53C1"/>
    <w:rsid w:val="69A94C02"/>
    <w:rsid w:val="6A2B2B48"/>
    <w:rsid w:val="701023B8"/>
    <w:rsid w:val="70813404"/>
    <w:rsid w:val="714C14D4"/>
    <w:rsid w:val="719B5F2D"/>
    <w:rsid w:val="71EB7B73"/>
    <w:rsid w:val="73A46643"/>
    <w:rsid w:val="73AE7CC8"/>
    <w:rsid w:val="79EC1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3">
    <w:name w:val="heading 1"/>
    <w:basedOn w:val="1"/>
    <w:next w:val="1"/>
    <w:qFormat/>
    <w:uiPriority w:val="9"/>
    <w:pPr>
      <w:keepNext/>
      <w:keepLines/>
      <w:numPr>
        <w:ilvl w:val="0"/>
        <w:numId w:val="1"/>
      </w:numPr>
      <w:adjustRightInd w:val="0"/>
      <w:spacing w:before="240" w:after="240"/>
      <w:ind w:firstLineChars="0"/>
      <w:jc w:val="center"/>
      <w:outlineLvl w:val="0"/>
    </w:pPr>
    <w:rPr>
      <w:rFonts w:eastAsia="黑体"/>
      <w:b/>
      <w:bCs/>
      <w:kern w:val="44"/>
      <w:sz w:val="36"/>
      <w:szCs w:val="44"/>
    </w:rPr>
  </w:style>
  <w:style w:type="paragraph" w:styleId="4">
    <w:name w:val="heading 3"/>
    <w:basedOn w:val="1"/>
    <w:next w:val="1"/>
    <w:qFormat/>
    <w:uiPriority w:val="0"/>
    <w:pPr>
      <w:keepNext/>
      <w:keepLines/>
      <w:spacing w:before="50" w:beforeLines="50" w:after="50" w:afterLines="50"/>
      <w:outlineLvl w:val="2"/>
    </w:pPr>
    <w:rPr>
      <w:rFonts w:eastAsia="华文楷体"/>
      <w:b/>
      <w:sz w:val="32"/>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qFormat/>
    <w:uiPriority w:val="0"/>
    <w:pPr>
      <w:spacing w:before="0" w:after="0"/>
      <w:ind w:left="210"/>
      <w:jc w:val="left"/>
    </w:pPr>
    <w:rPr>
      <w:smallCaps/>
      <w:sz w:val="20"/>
      <w:szCs w:val="20"/>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Indent 2"/>
    <w:basedOn w:val="1"/>
    <w:qFormat/>
    <w:uiPriority w:val="0"/>
    <w:pPr>
      <w:spacing w:after="120" w:afterLines="0" w:afterAutospacing="0" w:line="480" w:lineRule="auto"/>
      <w:ind w:left="420" w:leftChars="200"/>
    </w:pPr>
  </w:style>
  <w:style w:type="paragraph" w:styleId="8">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11">
    <w:name w:val="Table Grid"/>
    <w:basedOn w:val="10"/>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page number"/>
    <w:basedOn w:val="12"/>
    <w:qFormat/>
    <w:uiPriority w:val="0"/>
    <w:rPr>
      <w:rFonts w:eastAsia="宋体"/>
      <w:kern w:val="2"/>
      <w:sz w:val="21"/>
      <w:lang w:val="en-US" w:eastAsia="zh-CN" w:bidi="ar-SA"/>
    </w:rPr>
  </w:style>
  <w:style w:type="paragraph" w:customStyle="1" w:styleId="14">
    <w:name w:val="yt正文"/>
    <w:basedOn w:val="5"/>
    <w:next w:val="7"/>
    <w:link w:val="15"/>
    <w:qFormat/>
    <w:uiPriority w:val="0"/>
    <w:pPr>
      <w:spacing w:line="360" w:lineRule="auto"/>
      <w:ind w:firstLineChars="200"/>
    </w:pPr>
    <w:rPr>
      <w:rFonts w:ascii="Times New Roman" w:hAnsi="Times New Roman" w:eastAsia="宋体" w:cs="Times New Roman"/>
      <w:sz w:val="24"/>
      <w:szCs w:val="24"/>
    </w:rPr>
  </w:style>
  <w:style w:type="character" w:customStyle="1" w:styleId="15">
    <w:name w:val="yt正文 Char"/>
    <w:link w:val="14"/>
    <w:qFormat/>
    <w:uiPriority w:val="0"/>
    <w:rPr>
      <w:rFonts w:ascii="Times New Roman" w:hAnsi="Times New Roman" w:eastAsia="宋体" w:cs="Times New Roman"/>
      <w:sz w:val="24"/>
      <w:szCs w:val="24"/>
    </w:rPr>
  </w:style>
  <w:style w:type="paragraph" w:customStyle="1" w:styleId="16">
    <w:name w:val="yt表头"/>
    <w:basedOn w:val="1"/>
    <w:next w:val="14"/>
    <w:link w:val="17"/>
    <w:qFormat/>
    <w:uiPriority w:val="0"/>
    <w:pPr>
      <w:spacing w:before="50" w:beforeLines="50" w:line="240" w:lineRule="auto"/>
      <w:ind w:firstLine="0" w:firstLineChars="0"/>
      <w:jc w:val="center"/>
    </w:pPr>
    <w:rPr>
      <w:rFonts w:ascii="Times New Roman" w:hAnsi="Times New Roman" w:eastAsia="宋体" w:cs="Times New Roman"/>
      <w:b/>
      <w:sz w:val="21"/>
      <w:szCs w:val="21"/>
    </w:rPr>
  </w:style>
  <w:style w:type="character" w:customStyle="1" w:styleId="17">
    <w:name w:val="yt表头 Char"/>
    <w:link w:val="16"/>
    <w:qFormat/>
    <w:uiPriority w:val="0"/>
    <w:rPr>
      <w:rFonts w:ascii="Times New Roman" w:hAnsi="Times New Roman" w:eastAsia="宋体" w:cs="Times New Roman"/>
      <w:b/>
      <w:sz w:val="21"/>
      <w:szCs w:val="21"/>
    </w:rPr>
  </w:style>
  <w:style w:type="paragraph" w:customStyle="1" w:styleId="18">
    <w:name w:val="yt表内"/>
    <w:basedOn w:val="14"/>
    <w:next w:val="14"/>
    <w:link w:val="25"/>
    <w:qFormat/>
    <w:uiPriority w:val="0"/>
    <w:pPr>
      <w:spacing w:line="240" w:lineRule="atLeast"/>
      <w:ind w:firstLine="0" w:firstLineChars="0"/>
      <w:jc w:val="center"/>
    </w:pPr>
    <w:rPr>
      <w:sz w:val="21"/>
      <w:szCs w:val="21"/>
    </w:rPr>
  </w:style>
  <w:style w:type="paragraph" w:customStyle="1" w:styleId="19">
    <w:name w:val="yt一级标"/>
    <w:basedOn w:val="5"/>
    <w:next w:val="1"/>
    <w:link w:val="26"/>
    <w:qFormat/>
    <w:uiPriority w:val="0"/>
    <w:pPr>
      <w:spacing w:line="360" w:lineRule="auto"/>
      <w:ind w:firstLine="0" w:firstLineChars="0"/>
      <w:jc w:val="center"/>
      <w:outlineLvl w:val="0"/>
    </w:pPr>
    <w:rPr>
      <w:rFonts w:ascii="Times New Roman" w:hAnsi="Times New Roman" w:eastAsia="宋体" w:cs="Times New Roman"/>
      <w:b/>
      <w:sz w:val="32"/>
      <w:szCs w:val="30"/>
    </w:rPr>
  </w:style>
  <w:style w:type="paragraph" w:customStyle="1" w:styleId="20">
    <w:name w:val="yt二级标"/>
    <w:basedOn w:val="5"/>
    <w:link w:val="32"/>
    <w:qFormat/>
    <w:uiPriority w:val="0"/>
    <w:pPr>
      <w:spacing w:line="360" w:lineRule="auto"/>
      <w:ind w:firstLine="0"/>
      <w:outlineLvl w:val="1"/>
    </w:pPr>
    <w:rPr>
      <w:rFonts w:ascii="Times New Roman" w:hAnsi="Times New Roman" w:eastAsia="宋体" w:cs="Times New Roman"/>
      <w:b/>
      <w:sz w:val="28"/>
    </w:rPr>
  </w:style>
  <w:style w:type="paragraph" w:customStyle="1" w:styleId="21">
    <w:name w:val="yt三级标"/>
    <w:basedOn w:val="14"/>
    <w:next w:val="14"/>
    <w:link w:val="31"/>
    <w:qFormat/>
    <w:uiPriority w:val="0"/>
    <w:pPr>
      <w:ind w:firstLine="560" w:firstLineChars="200"/>
      <w:jc w:val="left"/>
      <w:outlineLvl w:val="2"/>
    </w:pPr>
    <w:rPr>
      <w:rFonts w:ascii="Times New Roman" w:hAnsi="Times New Roman" w:eastAsia="宋体" w:cs="Times New Roman"/>
      <w:b/>
      <w:bCs/>
      <w:szCs w:val="24"/>
    </w:rPr>
  </w:style>
  <w:style w:type="paragraph" w:customStyle="1" w:styleId="22">
    <w:name w:val="样式1"/>
    <w:basedOn w:val="14"/>
    <w:next w:val="14"/>
    <w:qFormat/>
    <w:uiPriority w:val="0"/>
    <w:pPr>
      <w:spacing w:before="50" w:beforeLines="50" w:line="240" w:lineRule="auto"/>
      <w:ind w:firstLine="0" w:firstLineChars="0"/>
      <w:jc w:val="center"/>
    </w:pPr>
    <w:rPr>
      <w:b/>
      <w:sz w:val="21"/>
    </w:rPr>
  </w:style>
  <w:style w:type="paragraph" w:customStyle="1" w:styleId="23">
    <w:name w:val="yt图标"/>
    <w:basedOn w:val="5"/>
    <w:link w:val="24"/>
    <w:qFormat/>
    <w:uiPriority w:val="0"/>
    <w:pPr>
      <w:spacing w:line="240" w:lineRule="auto"/>
      <w:jc w:val="center"/>
    </w:pPr>
    <w:rPr>
      <w:rFonts w:ascii="Times New Roman" w:hAnsi="Times New Roman" w:eastAsia="宋体" w:cs="Times New Roman"/>
      <w:b/>
      <w:sz w:val="21"/>
      <w:szCs w:val="21"/>
    </w:rPr>
  </w:style>
  <w:style w:type="character" w:customStyle="1" w:styleId="24">
    <w:name w:val="yt图标 Char"/>
    <w:link w:val="23"/>
    <w:qFormat/>
    <w:uiPriority w:val="0"/>
    <w:rPr>
      <w:rFonts w:ascii="Times New Roman" w:hAnsi="Times New Roman" w:eastAsia="宋体" w:cs="Times New Roman"/>
      <w:b/>
      <w:sz w:val="21"/>
      <w:szCs w:val="21"/>
    </w:rPr>
  </w:style>
  <w:style w:type="character" w:customStyle="1" w:styleId="25">
    <w:name w:val="yt表内 Char"/>
    <w:link w:val="18"/>
    <w:qFormat/>
    <w:uiPriority w:val="0"/>
    <w:rPr>
      <w:rFonts w:eastAsia="宋体"/>
      <w:sz w:val="21"/>
      <w:szCs w:val="21"/>
    </w:rPr>
  </w:style>
  <w:style w:type="character" w:customStyle="1" w:styleId="26">
    <w:name w:val="yt一级标 Char"/>
    <w:link w:val="19"/>
    <w:qFormat/>
    <w:uiPriority w:val="0"/>
    <w:rPr>
      <w:rFonts w:ascii="Times New Roman" w:hAnsi="Times New Roman" w:eastAsia="宋体" w:cs="Times New Roman"/>
      <w:b/>
      <w:sz w:val="32"/>
      <w:szCs w:val="30"/>
    </w:rPr>
  </w:style>
  <w:style w:type="paragraph" w:customStyle="1" w:styleId="27">
    <w:name w:val="1正文"/>
    <w:qFormat/>
    <w:uiPriority w:val="0"/>
    <w:pPr>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表格文字"/>
    <w:basedOn w:val="1"/>
    <w:qFormat/>
    <w:uiPriority w:val="0"/>
    <w:pPr>
      <w:adjustRightInd w:val="0"/>
      <w:snapToGrid w:val="0"/>
      <w:spacing w:line="240" w:lineRule="auto"/>
      <w:ind w:firstLine="0" w:firstLineChars="0"/>
      <w:jc w:val="center"/>
    </w:pPr>
    <w:rPr>
      <w:sz w:val="21"/>
      <w:szCs w:val="21"/>
    </w:rPr>
  </w:style>
  <w:style w:type="paragraph" w:customStyle="1" w:styleId="30">
    <w:name w:val="小四+首行缩进"/>
    <w:basedOn w:val="1"/>
    <w:qFormat/>
    <w:uiPriority w:val="0"/>
    <w:pPr>
      <w:spacing w:line="360" w:lineRule="auto"/>
      <w:ind w:firstLine="482"/>
    </w:pPr>
    <w:rPr>
      <w:rFonts w:ascii="宋体" w:hAnsi="宋体" w:cs="宋体"/>
      <w:sz w:val="24"/>
      <w:szCs w:val="20"/>
    </w:rPr>
  </w:style>
  <w:style w:type="character" w:customStyle="1" w:styleId="31">
    <w:name w:val="yt三级标 Char"/>
    <w:link w:val="21"/>
    <w:qFormat/>
    <w:uiPriority w:val="0"/>
    <w:rPr>
      <w:rFonts w:ascii="Times New Roman" w:hAnsi="Times New Roman" w:eastAsia="宋体" w:cs="Times New Roman"/>
      <w:b/>
      <w:bCs/>
      <w:szCs w:val="24"/>
    </w:rPr>
  </w:style>
  <w:style w:type="character" w:customStyle="1" w:styleId="32">
    <w:name w:val="yt二级标 Char"/>
    <w:link w:val="20"/>
    <w:qFormat/>
    <w:uiPriority w:val="0"/>
    <w:rPr>
      <w:rFonts w:ascii="Times New Roman" w:hAnsi="Times New Roman" w:eastAsia="宋体" w:cs="Times New Roman"/>
      <w:b/>
      <w:sz w:val="28"/>
    </w:rPr>
  </w:style>
  <w:style w:type="paragraph" w:customStyle="1" w:styleId="33">
    <w:name w:val="表名图名"/>
    <w:basedOn w:val="1"/>
    <w:qFormat/>
    <w:uiPriority w:val="0"/>
    <w:pPr>
      <w:jc w:val="center"/>
    </w:pPr>
    <w:rPr>
      <w:rFonts w:eastAsia="Times New Roman"/>
      <w:b/>
      <w:sz w:val="21"/>
      <w:szCs w:val="24"/>
    </w:rPr>
  </w:style>
  <w:style w:type="paragraph" w:customStyle="1" w:styleId="34">
    <w:name w:val="header"/>
    <w:basedOn w:val="1"/>
    <w:qFormat/>
    <w:uiPriority w:val="0"/>
    <w:pPr>
      <w:pBdr>
        <w:bottom w:val="single" w:color="auto" w:sz="6" w:space="1"/>
      </w:pBdr>
      <w:tabs>
        <w:tab w:val="center" w:pos="4153"/>
        <w:tab w:val="right" w:pos="8306"/>
      </w:tabs>
      <w:snapToGrid w:val="0"/>
      <w:spacing w:line="240" w:lineRule="atLeast"/>
      <w:jc w:val="center"/>
    </w:pPr>
    <w:rPr>
      <w:kern w:val="2"/>
      <w:sz w:val="18"/>
      <w:szCs w:val="18"/>
    </w:rPr>
  </w:style>
  <w:style w:type="paragraph" w:customStyle="1" w:styleId="35">
    <w:name w:val="footer"/>
    <w:basedOn w:val="1"/>
    <w:qFormat/>
    <w:uiPriority w:val="0"/>
    <w:pPr>
      <w:tabs>
        <w:tab w:val="center" w:pos="4153"/>
        <w:tab w:val="right" w:pos="8306"/>
      </w:tabs>
      <w:snapToGrid w:val="0"/>
      <w:spacing w:line="240" w:lineRule="atLeast"/>
      <w:jc w:val="left"/>
    </w:pPr>
    <w:rPr>
      <w:kern w:val="2"/>
      <w:sz w:val="18"/>
      <w:szCs w:val="18"/>
    </w:rPr>
  </w:style>
  <w:style w:type="paragraph" w:customStyle="1" w:styleId="36">
    <w:name w:val="表格名称"/>
    <w:basedOn w:val="1"/>
    <w:qFormat/>
    <w:uiPriority w:val="0"/>
    <w:pPr>
      <w:widowControl w:val="0"/>
      <w:adjustRightInd w:val="0"/>
      <w:snapToGrid w:val="0"/>
      <w:spacing w:before="120" w:beforeLines="50"/>
      <w:jc w:val="center"/>
      <w:textAlignment w:val="baseline"/>
    </w:pPr>
    <w:rPr>
      <w:b/>
      <w:sz w:val="21"/>
      <w:szCs w:val="24"/>
    </w:rPr>
  </w:style>
  <w:style w:type="paragraph" w:customStyle="1" w:styleId="37">
    <w:name w:val="WPSOffice手动目录 2"/>
    <w:qFormat/>
    <w:uiPriority w:val="0"/>
    <w:pPr>
      <w:ind w:leftChars="200"/>
    </w:pPr>
    <w:rPr>
      <w:rFonts w:ascii="Times New Roman" w:hAnsi="Times New Roman" w:eastAsia="仿宋_GB2312"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png"/><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d5448a3-b567-4075-975a-217edfeda6c6}"/>
        <w:style w:val=""/>
        <w:category>
          <w:name w:val="常规"/>
          <w:gallery w:val="placeholder"/>
        </w:category>
        <w:types>
          <w:type w:val="bbPlcHdr"/>
        </w:types>
        <w:behaviors>
          <w:behavior w:val="content"/>
        </w:behaviors>
        <w:description w:val=""/>
        <w:guid w:val="{5d5448a3-b567-4075-975a-217edfeda6c6}"/>
      </w:docPartPr>
      <w:docPartBody>
        <w:p>
          <w:r>
            <w:rPr>
              <w:color w:val="808080"/>
            </w:rPr>
            <w:t>单击此处输入文字。</w:t>
          </w:r>
        </w:p>
      </w:docPartBody>
    </w:docPart>
    <w:docPart>
      <w:docPartPr>
        <w:name w:val="{ce3716cb-9815-4ce5-a50e-ff3fa9154967}"/>
        <w:style w:val=""/>
        <w:category>
          <w:name w:val="常规"/>
          <w:gallery w:val="placeholder"/>
        </w:category>
        <w:types>
          <w:type w:val="bbPlcHdr"/>
        </w:types>
        <w:behaviors>
          <w:behavior w:val="content"/>
        </w:behaviors>
        <w:description w:val=""/>
        <w:guid w:val="{ce3716cb-9815-4ce5-a50e-ff3fa9154967}"/>
      </w:docPartPr>
      <w:docPartBody>
        <w:p>
          <w:r>
            <w:rPr>
              <w:color w:val="808080"/>
            </w:rPr>
            <w:t>单击此处输入文字。</w:t>
          </w:r>
        </w:p>
      </w:docPartBody>
    </w:docPart>
    <w:docPart>
      <w:docPartPr>
        <w:name w:val="{4aa9f09a-1d4c-4571-9f93-2c845be1bc74}"/>
        <w:style w:val=""/>
        <w:category>
          <w:name w:val="常规"/>
          <w:gallery w:val="placeholder"/>
        </w:category>
        <w:types>
          <w:type w:val="bbPlcHdr"/>
        </w:types>
        <w:behaviors>
          <w:behavior w:val="content"/>
        </w:behaviors>
        <w:description w:val=""/>
        <w:guid w:val="{4aa9f09a-1d4c-4571-9f93-2c845be1bc74}"/>
      </w:docPartPr>
      <w:docPartBody>
        <w:p>
          <w:r>
            <w:rPr>
              <w:color w:val="808080"/>
            </w:rPr>
            <w:t>单击此处输入文字。</w:t>
          </w:r>
        </w:p>
      </w:docPartBody>
    </w:docPart>
    <w:docPart>
      <w:docPartPr>
        <w:name w:val="{582661df-d1bc-4e97-a30b-efb732eb80e6}"/>
        <w:style w:val=""/>
        <w:category>
          <w:name w:val="常规"/>
          <w:gallery w:val="placeholder"/>
        </w:category>
        <w:types>
          <w:type w:val="bbPlcHdr"/>
        </w:types>
        <w:behaviors>
          <w:behavior w:val="content"/>
        </w:behaviors>
        <w:description w:val=""/>
        <w:guid w:val="{582661df-d1bc-4e97-a30b-efb732eb80e6}"/>
      </w:docPartPr>
      <w:docPartBody>
        <w:p>
          <w:r>
            <w:rPr>
              <w:color w:val="808080"/>
            </w:rPr>
            <w:t>单击此处输入文字。</w:t>
          </w:r>
        </w:p>
      </w:docPartBody>
    </w:docPart>
    <w:docPart>
      <w:docPartPr>
        <w:name w:val="{0922baf5-358a-438c-9253-40c8537e736a}"/>
        <w:style w:val=""/>
        <w:category>
          <w:name w:val="常规"/>
          <w:gallery w:val="placeholder"/>
        </w:category>
        <w:types>
          <w:type w:val="bbPlcHdr"/>
        </w:types>
        <w:behaviors>
          <w:behavior w:val="content"/>
        </w:behaviors>
        <w:description w:val=""/>
        <w:guid w:val="{0922baf5-358a-438c-9253-40c8537e736a}"/>
      </w:docPartPr>
      <w:docPartBody>
        <w:p>
          <w:r>
            <w:rPr>
              <w:color w:val="808080"/>
            </w:rPr>
            <w:t>单击此处输入文字。</w:t>
          </w:r>
        </w:p>
      </w:docPartBody>
    </w:docPart>
    <w:docPart>
      <w:docPartPr>
        <w:name w:val="{8246a54f-db18-4e49-99e1-67ed35a4b56d}"/>
        <w:style w:val=""/>
        <w:category>
          <w:name w:val="常规"/>
          <w:gallery w:val="placeholder"/>
        </w:category>
        <w:types>
          <w:type w:val="bbPlcHdr"/>
        </w:types>
        <w:behaviors>
          <w:behavior w:val="content"/>
        </w:behaviors>
        <w:description w:val=""/>
        <w:guid w:val="{8246a54f-db18-4e49-99e1-67ed35a4b56d}"/>
      </w:docPartPr>
      <w:docPartBody>
        <w:p>
          <w:r>
            <w:rPr>
              <w:color w:val="808080"/>
            </w:rPr>
            <w:t>单击此处输入文字。</w:t>
          </w:r>
        </w:p>
      </w:docPartBody>
    </w:docPart>
    <w:docPart>
      <w:docPartPr>
        <w:name w:val="{6b6074c6-39d1-455a-a9ef-cc1e9fdb2e20}"/>
        <w:style w:val=""/>
        <w:category>
          <w:name w:val="常规"/>
          <w:gallery w:val="placeholder"/>
        </w:category>
        <w:types>
          <w:type w:val="bbPlcHdr"/>
        </w:types>
        <w:behaviors>
          <w:behavior w:val="content"/>
        </w:behaviors>
        <w:description w:val=""/>
        <w:guid w:val="{6b6074c6-39d1-455a-a9ef-cc1e9fdb2e20}"/>
      </w:docPartPr>
      <w:docPartBody>
        <w:p>
          <w:r>
            <w:rPr>
              <w:color w:val="808080"/>
            </w:rPr>
            <w:t>单击此处输入文字。</w:t>
          </w:r>
        </w:p>
      </w:docPartBody>
    </w:docPart>
    <w:docPart>
      <w:docPartPr>
        <w:name w:val="{621f33b3-8e80-47a3-803b-eaf0ce2abb79}"/>
        <w:style w:val=""/>
        <w:category>
          <w:name w:val="常规"/>
          <w:gallery w:val="placeholder"/>
        </w:category>
        <w:types>
          <w:type w:val="bbPlcHdr"/>
        </w:types>
        <w:behaviors>
          <w:behavior w:val="content"/>
        </w:behaviors>
        <w:description w:val=""/>
        <w:guid w:val="{621f33b3-8e80-47a3-803b-eaf0ce2abb79}"/>
      </w:docPartPr>
      <w:docPartBody>
        <w:p>
          <w:r>
            <w:rPr>
              <w:color w:val="808080"/>
            </w:rPr>
            <w:t>单击此处输入文字。</w:t>
          </w:r>
        </w:p>
      </w:docPartBody>
    </w:docPart>
    <w:docPart>
      <w:docPartPr>
        <w:name w:val="{b2efe46d-df48-4c92-b587-31082f7a87e0}"/>
        <w:style w:val=""/>
        <w:category>
          <w:name w:val="常规"/>
          <w:gallery w:val="placeholder"/>
        </w:category>
        <w:types>
          <w:type w:val="bbPlcHdr"/>
        </w:types>
        <w:behaviors>
          <w:behavior w:val="content"/>
        </w:behaviors>
        <w:description w:val=""/>
        <w:guid w:val="{b2efe46d-df48-4c92-b587-31082f7a87e0}"/>
      </w:docPartPr>
      <w:docPartBody>
        <w:p>
          <w:r>
            <w:rPr>
              <w:color w:val="808080"/>
            </w:rPr>
            <w:t>单击此处输入文字。</w:t>
          </w:r>
        </w:p>
      </w:docPartBody>
    </w:docPart>
    <w:docPart>
      <w:docPartPr>
        <w:name w:val="{2f503eb9-ecfd-4364-a962-24e59e85f3c8}"/>
        <w:style w:val=""/>
        <w:category>
          <w:name w:val="常规"/>
          <w:gallery w:val="placeholder"/>
        </w:category>
        <w:types>
          <w:type w:val="bbPlcHdr"/>
        </w:types>
        <w:behaviors>
          <w:behavior w:val="content"/>
        </w:behaviors>
        <w:description w:val=""/>
        <w:guid w:val="{2f503eb9-ecfd-4364-a962-24e59e85f3c8}"/>
      </w:docPartPr>
      <w:docPartBody>
        <w:p>
          <w:r>
            <w:rPr>
              <w:color w:val="808080"/>
            </w:rPr>
            <w:t>单击此处输入文字。</w:t>
          </w:r>
        </w:p>
      </w:docPartBody>
    </w:docPart>
    <w:docPart>
      <w:docPartPr>
        <w:name w:val="{a99ea12f-31fd-4080-b1c2-f1f8692f9b22}"/>
        <w:style w:val=""/>
        <w:category>
          <w:name w:val="常规"/>
          <w:gallery w:val="placeholder"/>
        </w:category>
        <w:types>
          <w:type w:val="bbPlcHdr"/>
        </w:types>
        <w:behaviors>
          <w:behavior w:val="content"/>
        </w:behaviors>
        <w:description w:val=""/>
        <w:guid w:val="{a99ea12f-31fd-4080-b1c2-f1f8692f9b22}"/>
      </w:docPartPr>
      <w:docPartBody>
        <w:p>
          <w:r>
            <w:rPr>
              <w:color w:val="808080"/>
            </w:rPr>
            <w:t>单击此处输入文字。</w:t>
          </w:r>
        </w:p>
      </w:docPartBody>
    </w:docPart>
    <w:docPart>
      <w:docPartPr>
        <w:name w:val="{36b6b175-d605-4562-9a4b-718f206d980e}"/>
        <w:style w:val=""/>
        <w:category>
          <w:name w:val="常规"/>
          <w:gallery w:val="placeholder"/>
        </w:category>
        <w:types>
          <w:type w:val="bbPlcHdr"/>
        </w:types>
        <w:behaviors>
          <w:behavior w:val="content"/>
        </w:behaviors>
        <w:description w:val=""/>
        <w:guid w:val="{36b6b175-d605-4562-9a4b-718f206d980e}"/>
      </w:docPartPr>
      <w:docPartBody>
        <w:p>
          <w:r>
            <w:rPr>
              <w:color w:val="808080"/>
            </w:rPr>
            <w:t>单击此处输入文字。</w:t>
          </w:r>
        </w:p>
      </w:docPartBody>
    </w:docPart>
    <w:docPart>
      <w:docPartPr>
        <w:name w:val="{5a5c0b26-940a-4a53-909d-87bab31617ba}"/>
        <w:style w:val=""/>
        <w:category>
          <w:name w:val="常规"/>
          <w:gallery w:val="placeholder"/>
        </w:category>
        <w:types>
          <w:type w:val="bbPlcHdr"/>
        </w:types>
        <w:behaviors>
          <w:behavior w:val="content"/>
        </w:behaviors>
        <w:description w:val=""/>
        <w:guid w:val="{5a5c0b26-940a-4a53-909d-87bab31617ba}"/>
      </w:docPartPr>
      <w:docPartBody>
        <w:p>
          <w:r>
            <w:rPr>
              <w:color w:val="808080"/>
            </w:rPr>
            <w:t>单击此处输入文字。</w:t>
          </w:r>
        </w:p>
      </w:docPartBody>
    </w:docPart>
    <w:docPart>
      <w:docPartPr>
        <w:name w:val="{a4d6e6c9-4f42-4787-a1b2-3ddf4ade21e1}"/>
        <w:style w:val=""/>
        <w:category>
          <w:name w:val="常规"/>
          <w:gallery w:val="placeholder"/>
        </w:category>
        <w:types>
          <w:type w:val="bbPlcHdr"/>
        </w:types>
        <w:behaviors>
          <w:behavior w:val="content"/>
        </w:behaviors>
        <w:description w:val=""/>
        <w:guid w:val="{a4d6e6c9-4f42-4787-a1b2-3ddf4ade21e1}"/>
      </w:docPartPr>
      <w:docPartBody>
        <w:p>
          <w:r>
            <w:rPr>
              <w:color w:val="808080"/>
            </w:rPr>
            <w:t>单击此处输入文字。</w:t>
          </w:r>
        </w:p>
      </w:docPartBody>
    </w:docPart>
    <w:docPart>
      <w:docPartPr>
        <w:name w:val="{c893a105-487a-4198-92e6-1c6642ea2a4f}"/>
        <w:style w:val=""/>
        <w:category>
          <w:name w:val="常规"/>
          <w:gallery w:val="placeholder"/>
        </w:category>
        <w:types>
          <w:type w:val="bbPlcHdr"/>
        </w:types>
        <w:behaviors>
          <w:behavior w:val="content"/>
        </w:behaviors>
        <w:description w:val=""/>
        <w:guid w:val="{c893a105-487a-4198-92e6-1c6642ea2a4f}"/>
      </w:docPartPr>
      <w:docPartBody>
        <w:p>
          <w:r>
            <w:rPr>
              <w:color w:val="808080"/>
            </w:rPr>
            <w:t>单击此处输入文字。</w:t>
          </w:r>
        </w:p>
      </w:docPartBody>
    </w:docPart>
    <w:docPart>
      <w:docPartPr>
        <w:name w:val="{c0024f0d-f20f-482f-8cf5-26bf70deca55}"/>
        <w:style w:val=""/>
        <w:category>
          <w:name w:val="常规"/>
          <w:gallery w:val="placeholder"/>
        </w:category>
        <w:types>
          <w:type w:val="bbPlcHdr"/>
        </w:types>
        <w:behaviors>
          <w:behavior w:val="content"/>
        </w:behaviors>
        <w:description w:val=""/>
        <w:guid w:val="{c0024f0d-f20f-482f-8cf5-26bf70deca55}"/>
      </w:docPartPr>
      <w:docPartBody>
        <w:p>
          <w:r>
            <w:rPr>
              <w:color w:val="808080"/>
            </w:rPr>
            <w:t>单击此处输入文字。</w:t>
          </w:r>
        </w:p>
      </w:docPartBody>
    </w:docPart>
    <w:docPart>
      <w:docPartPr>
        <w:name w:val="{e900105c-4dc8-4fdc-8f64-5ba26291c59d}"/>
        <w:style w:val=""/>
        <w:category>
          <w:name w:val="常规"/>
          <w:gallery w:val="placeholder"/>
        </w:category>
        <w:types>
          <w:type w:val="bbPlcHdr"/>
        </w:types>
        <w:behaviors>
          <w:behavior w:val="content"/>
        </w:behaviors>
        <w:description w:val=""/>
        <w:guid w:val="{e900105c-4dc8-4fdc-8f64-5ba26291c59d}"/>
      </w:docPartPr>
      <w:docPartBody>
        <w:p>
          <w:r>
            <w:rPr>
              <w:color w:val="808080"/>
            </w:rPr>
            <w:t>单击此处输入文字。</w:t>
          </w:r>
        </w:p>
      </w:docPartBody>
    </w:docPart>
    <w:docPart>
      <w:docPartPr>
        <w:name w:val="{82f9de72-5a0a-4464-9217-7e48d223e2bd}"/>
        <w:style w:val=""/>
        <w:category>
          <w:name w:val="常规"/>
          <w:gallery w:val="placeholder"/>
        </w:category>
        <w:types>
          <w:type w:val="bbPlcHdr"/>
        </w:types>
        <w:behaviors>
          <w:behavior w:val="content"/>
        </w:behaviors>
        <w:description w:val=""/>
        <w:guid w:val="{82f9de72-5a0a-4464-9217-7e48d223e2bd}"/>
      </w:docPartPr>
      <w:docPartBody>
        <w:p>
          <w:r>
            <w:rPr>
              <w:color w:val="808080"/>
            </w:rPr>
            <w:t>单击此处输入文字。</w:t>
          </w:r>
        </w:p>
      </w:docPartBody>
    </w:docPart>
    <w:docPart>
      <w:docPartPr>
        <w:name w:val="{660ca7bb-ada1-43d1-8afc-595564f93a9e}"/>
        <w:style w:val=""/>
        <w:category>
          <w:name w:val="常规"/>
          <w:gallery w:val="placeholder"/>
        </w:category>
        <w:types>
          <w:type w:val="bbPlcHdr"/>
        </w:types>
        <w:behaviors>
          <w:behavior w:val="content"/>
        </w:behaviors>
        <w:description w:val=""/>
        <w:guid w:val="{660ca7bb-ada1-43d1-8afc-595564f93a9e}"/>
      </w:docPartPr>
      <w:docPartBody>
        <w:p>
          <w:r>
            <w:rPr>
              <w:color w:val="808080"/>
            </w:rPr>
            <w:t>单击此处输入文字。</w:t>
          </w:r>
        </w:p>
      </w:docPartBody>
    </w:docPart>
    <w:docPart>
      <w:docPartPr>
        <w:name w:val="{336bc125-a0ef-491b-a49a-69ec01f3b20b}"/>
        <w:style w:val=""/>
        <w:category>
          <w:name w:val="常规"/>
          <w:gallery w:val="placeholder"/>
        </w:category>
        <w:types>
          <w:type w:val="bbPlcHdr"/>
        </w:types>
        <w:behaviors>
          <w:behavior w:val="content"/>
        </w:behaviors>
        <w:description w:val=""/>
        <w:guid w:val="{336bc125-a0ef-491b-a49a-69ec01f3b20b}"/>
      </w:docPartPr>
      <w:docPartBody>
        <w:p>
          <w:r>
            <w:rPr>
              <w:color w:val="808080"/>
            </w:rPr>
            <w:t>单击此处输入文字。</w:t>
          </w:r>
        </w:p>
      </w:docPartBody>
    </w:docPart>
    <w:docPart>
      <w:docPartPr>
        <w:name w:val="{73e258a5-e340-4182-809e-67de3815ebe5}"/>
        <w:style w:val=""/>
        <w:category>
          <w:name w:val="常规"/>
          <w:gallery w:val="placeholder"/>
        </w:category>
        <w:types>
          <w:type w:val="bbPlcHdr"/>
        </w:types>
        <w:behaviors>
          <w:behavior w:val="content"/>
        </w:behaviors>
        <w:description w:val=""/>
        <w:guid w:val="{73e258a5-e340-4182-809e-67de3815ebe5}"/>
      </w:docPartPr>
      <w:docPartBody>
        <w:p>
          <w:r>
            <w:rPr>
              <w:color w:val="808080"/>
            </w:rPr>
            <w:t>单击此处输入文字。</w:t>
          </w:r>
        </w:p>
      </w:docPartBody>
    </w:docPart>
    <w:docPart>
      <w:docPartPr>
        <w:name w:val="{13a2e506-6158-49ef-83d8-404edc90c66c}"/>
        <w:style w:val=""/>
        <w:category>
          <w:name w:val="常规"/>
          <w:gallery w:val="placeholder"/>
        </w:category>
        <w:types>
          <w:type w:val="bbPlcHdr"/>
        </w:types>
        <w:behaviors>
          <w:behavior w:val="content"/>
        </w:behaviors>
        <w:description w:val=""/>
        <w:guid w:val="{13a2e506-6158-49ef-83d8-404edc90c66c}"/>
      </w:docPartPr>
      <w:docPartBody>
        <w:p>
          <w:r>
            <w:rPr>
              <w:color w:val="808080"/>
            </w:rPr>
            <w:t>单击此处输入文字。</w:t>
          </w:r>
        </w:p>
      </w:docPartBody>
    </w:docPart>
    <w:docPart>
      <w:docPartPr>
        <w:name w:val="{81fa8477-b830-4b51-8380-8b5d0d8ae7c3}"/>
        <w:style w:val=""/>
        <w:category>
          <w:name w:val="常规"/>
          <w:gallery w:val="placeholder"/>
        </w:category>
        <w:types>
          <w:type w:val="bbPlcHdr"/>
        </w:types>
        <w:behaviors>
          <w:behavior w:val="content"/>
        </w:behaviors>
        <w:description w:val=""/>
        <w:guid w:val="{81fa8477-b830-4b51-8380-8b5d0d8ae7c3}"/>
      </w:docPartPr>
      <w:docPartBody>
        <w:p>
          <w:r>
            <w:rPr>
              <w:color w:val="808080"/>
            </w:rPr>
            <w:t>单击此处输入文字。</w:t>
          </w:r>
        </w:p>
      </w:docPartBody>
    </w:docPart>
    <w:docPart>
      <w:docPartPr>
        <w:name w:val="{407a9ecf-419e-4d58-9d73-ea081d725419}"/>
        <w:style w:val=""/>
        <w:category>
          <w:name w:val="常规"/>
          <w:gallery w:val="placeholder"/>
        </w:category>
        <w:types>
          <w:type w:val="bbPlcHdr"/>
        </w:types>
        <w:behaviors>
          <w:behavior w:val="content"/>
        </w:behaviors>
        <w:description w:val=""/>
        <w:guid w:val="{407a9ecf-419e-4d58-9d73-ea081d725419}"/>
      </w:docPartPr>
      <w:docPartBody>
        <w:p>
          <w:r>
            <w:rPr>
              <w:color w:val="808080"/>
            </w:rPr>
            <w:t>单击此处输入文字。</w:t>
          </w:r>
        </w:p>
      </w:docPartBody>
    </w:docPart>
    <w:docPart>
      <w:docPartPr>
        <w:name w:val="{0e6d818e-bcf9-457f-b847-5ea46545ab90}"/>
        <w:style w:val=""/>
        <w:category>
          <w:name w:val="常规"/>
          <w:gallery w:val="placeholder"/>
        </w:category>
        <w:types>
          <w:type w:val="bbPlcHdr"/>
        </w:types>
        <w:behaviors>
          <w:behavior w:val="content"/>
        </w:behaviors>
        <w:description w:val=""/>
        <w:guid w:val="{0e6d818e-bcf9-457f-b847-5ea46545ab90}"/>
      </w:docPartPr>
      <w:docPartBody>
        <w:p>
          <w:r>
            <w:rPr>
              <w:color w:val="808080"/>
            </w:rPr>
            <w:t>单击此处输入文字。</w:t>
          </w:r>
        </w:p>
      </w:docPartBody>
    </w:docPart>
    <w:docPart>
      <w:docPartPr>
        <w:name w:val="{69665ef8-2bf1-4e52-9552-2e3da288d12b}"/>
        <w:style w:val=""/>
        <w:category>
          <w:name w:val="常规"/>
          <w:gallery w:val="placeholder"/>
        </w:category>
        <w:types>
          <w:type w:val="bbPlcHdr"/>
        </w:types>
        <w:behaviors>
          <w:behavior w:val="content"/>
        </w:behaviors>
        <w:description w:val=""/>
        <w:guid w:val="{69665ef8-2bf1-4e52-9552-2e3da288d12b}"/>
      </w:docPartPr>
      <w:docPartBody>
        <w:p>
          <w:r>
            <w:rPr>
              <w:color w:val="808080"/>
            </w:rPr>
            <w:t>单击此处输入文字。</w:t>
          </w:r>
        </w:p>
      </w:docPartBody>
    </w:docPart>
    <w:docPart>
      <w:docPartPr>
        <w:name w:val="{e09719b1-d3d8-4816-8d90-206a17204c6c}"/>
        <w:style w:val=""/>
        <w:category>
          <w:name w:val="常规"/>
          <w:gallery w:val="placeholder"/>
        </w:category>
        <w:types>
          <w:type w:val="bbPlcHdr"/>
        </w:types>
        <w:behaviors>
          <w:behavior w:val="content"/>
        </w:behaviors>
        <w:description w:val=""/>
        <w:guid w:val="{e09719b1-d3d8-4816-8d90-206a17204c6c}"/>
      </w:docPartPr>
      <w:docPartBody>
        <w:p>
          <w:r>
            <w:rPr>
              <w:color w:val="808080"/>
            </w:rPr>
            <w:t>单击此处输入文字。</w:t>
          </w:r>
        </w:p>
      </w:docPartBody>
    </w:docPart>
    <w:docPart>
      <w:docPartPr>
        <w:name w:val="{b004e197-981c-49e5-b80a-440a762f5db9}"/>
        <w:style w:val=""/>
        <w:category>
          <w:name w:val="常规"/>
          <w:gallery w:val="placeholder"/>
        </w:category>
        <w:types>
          <w:type w:val="bbPlcHdr"/>
        </w:types>
        <w:behaviors>
          <w:behavior w:val="content"/>
        </w:behaviors>
        <w:description w:val=""/>
        <w:guid w:val="{b004e197-981c-49e5-b80a-440a762f5db9}"/>
      </w:docPartPr>
      <w:docPartBody>
        <w:p>
          <w:r>
            <w:rPr>
              <w:color w:val="808080"/>
            </w:rPr>
            <w:t>单击此处输入文字。</w:t>
          </w:r>
        </w:p>
      </w:docPartBody>
    </w:docPart>
    <w:docPart>
      <w:docPartPr>
        <w:name w:val="{3a07fb92-5be3-4685-ae53-befc2e28280c}"/>
        <w:style w:val=""/>
        <w:category>
          <w:name w:val="常规"/>
          <w:gallery w:val="placeholder"/>
        </w:category>
        <w:types>
          <w:type w:val="bbPlcHdr"/>
        </w:types>
        <w:behaviors>
          <w:behavior w:val="content"/>
        </w:behaviors>
        <w:description w:val=""/>
        <w:guid w:val="{3a07fb92-5be3-4685-ae53-befc2e28280c}"/>
      </w:docPartPr>
      <w:docPartBody>
        <w:p>
          <w:r>
            <w:rPr>
              <w:color w:val="808080"/>
            </w:rPr>
            <w:t>单击此处输入文字。</w:t>
          </w:r>
        </w:p>
      </w:docPartBody>
    </w:docPart>
    <w:docPart>
      <w:docPartPr>
        <w:name w:val="{cb2d2e46-436c-4fac-967e-ccb58dd19e98}"/>
        <w:style w:val=""/>
        <w:category>
          <w:name w:val="常规"/>
          <w:gallery w:val="placeholder"/>
        </w:category>
        <w:types>
          <w:type w:val="bbPlcHdr"/>
        </w:types>
        <w:behaviors>
          <w:behavior w:val="content"/>
        </w:behaviors>
        <w:description w:val=""/>
        <w:guid w:val="{cb2d2e46-436c-4fac-967e-ccb58dd19e98}"/>
      </w:docPartPr>
      <w:docPartBody>
        <w:p>
          <w:r>
            <w:rPr>
              <w:color w:val="808080"/>
            </w:rPr>
            <w:t>单击此处输入文字。</w:t>
          </w:r>
        </w:p>
      </w:docPartBody>
    </w:docPart>
    <w:docPart>
      <w:docPartPr>
        <w:name w:val="{d2af5531-b0bf-4d44-a2b3-f4b1c4a7586e}"/>
        <w:style w:val=""/>
        <w:category>
          <w:name w:val="常规"/>
          <w:gallery w:val="placeholder"/>
        </w:category>
        <w:types>
          <w:type w:val="bbPlcHdr"/>
        </w:types>
        <w:behaviors>
          <w:behavior w:val="content"/>
        </w:behaviors>
        <w:description w:val=""/>
        <w:guid w:val="{d2af5531-b0bf-4d44-a2b3-f4b1c4a7586e}"/>
      </w:docPartPr>
      <w:docPartBody>
        <w:p>
          <w:r>
            <w:rPr>
              <w:color w:val="808080"/>
            </w:rPr>
            <w:t>单击此处输入文字。</w:t>
          </w:r>
        </w:p>
      </w:docPartBody>
    </w:docPart>
    <w:docPart>
      <w:docPartPr>
        <w:name w:val="{f50df72c-3762-43ca-88a2-9bb699122acf}"/>
        <w:style w:val=""/>
        <w:category>
          <w:name w:val="常规"/>
          <w:gallery w:val="placeholder"/>
        </w:category>
        <w:types>
          <w:type w:val="bbPlcHdr"/>
        </w:types>
        <w:behaviors>
          <w:behavior w:val="content"/>
        </w:behaviors>
        <w:description w:val=""/>
        <w:guid w:val="{f50df72c-3762-43ca-88a2-9bb699122acf}"/>
      </w:docPartPr>
      <w:docPartBody>
        <w:p>
          <w:r>
            <w:rPr>
              <w:color w:val="808080"/>
            </w:rPr>
            <w:t>单击此处输入文字。</w:t>
          </w:r>
        </w:p>
      </w:docPartBody>
    </w:docPart>
    <w:docPart>
      <w:docPartPr>
        <w:name w:val="{8254b839-eca6-461e-a15a-0d0f050b6330}"/>
        <w:style w:val=""/>
        <w:category>
          <w:name w:val="常规"/>
          <w:gallery w:val="placeholder"/>
        </w:category>
        <w:types>
          <w:type w:val="bbPlcHdr"/>
        </w:types>
        <w:behaviors>
          <w:behavior w:val="content"/>
        </w:behaviors>
        <w:description w:val=""/>
        <w:guid w:val="{8254b839-eca6-461e-a15a-0d0f050b6330}"/>
      </w:docPartPr>
      <w:docPartBody>
        <w:p>
          <w:r>
            <w:rPr>
              <w:color w:val="808080"/>
            </w:rPr>
            <w:t>单击此处输入文字。</w:t>
          </w:r>
        </w:p>
      </w:docPartBody>
    </w:docPart>
    <w:docPart>
      <w:docPartPr>
        <w:name w:val="{b2a6a44f-2f84-489a-bfe1-16a5fe04d5f2}"/>
        <w:style w:val=""/>
        <w:category>
          <w:name w:val="常规"/>
          <w:gallery w:val="placeholder"/>
        </w:category>
        <w:types>
          <w:type w:val="bbPlcHdr"/>
        </w:types>
        <w:behaviors>
          <w:behavior w:val="content"/>
        </w:behaviors>
        <w:description w:val=""/>
        <w:guid w:val="{b2a6a44f-2f84-489a-bfe1-16a5fe04d5f2}"/>
      </w:docPartPr>
      <w:docPartBody>
        <w:p>
          <w:r>
            <w:rPr>
              <w:color w:val="808080"/>
            </w:rPr>
            <w:t>单击此处输入文字。</w:t>
          </w:r>
        </w:p>
      </w:docPartBody>
    </w:docPart>
    <w:docPart>
      <w:docPartPr>
        <w:name w:val="{b1ef0a0a-52e3-4519-a55c-40a3a8f7700c}"/>
        <w:style w:val=""/>
        <w:category>
          <w:name w:val="常规"/>
          <w:gallery w:val="placeholder"/>
        </w:category>
        <w:types>
          <w:type w:val="bbPlcHdr"/>
        </w:types>
        <w:behaviors>
          <w:behavior w:val="content"/>
        </w:behaviors>
        <w:description w:val=""/>
        <w:guid w:val="{b1ef0a0a-52e3-4519-a55c-40a3a8f7700c}"/>
      </w:docPartPr>
      <w:docPartBody>
        <w:p>
          <w:r>
            <w:rPr>
              <w:color w:val="808080"/>
            </w:rPr>
            <w:t>单击此处输入文字。</w:t>
          </w:r>
        </w:p>
      </w:docPartBody>
    </w:docPart>
    <w:docPart>
      <w:docPartPr>
        <w:name w:val="{9a66233c-a4bd-43ed-9b2b-9300cdc64d7e}"/>
        <w:style w:val=""/>
        <w:category>
          <w:name w:val="常规"/>
          <w:gallery w:val="placeholder"/>
        </w:category>
        <w:types>
          <w:type w:val="bbPlcHdr"/>
        </w:types>
        <w:behaviors>
          <w:behavior w:val="content"/>
        </w:behaviors>
        <w:description w:val=""/>
        <w:guid w:val="{9a66233c-a4bd-43ed-9b2b-9300cdc64d7e}"/>
      </w:docPartPr>
      <w:docPartBody>
        <w:p>
          <w:r>
            <w:rPr>
              <w:color w:val="808080"/>
            </w:rPr>
            <w:t>单击此处输入文字。</w:t>
          </w:r>
        </w:p>
      </w:docPartBody>
    </w:docPart>
    <w:docPart>
      <w:docPartPr>
        <w:name w:val="{3618a8ad-b3f7-4e64-ab6d-a2787f1185c6}"/>
        <w:style w:val=""/>
        <w:category>
          <w:name w:val="常规"/>
          <w:gallery w:val="placeholder"/>
        </w:category>
        <w:types>
          <w:type w:val="bbPlcHdr"/>
        </w:types>
        <w:behaviors>
          <w:behavior w:val="content"/>
        </w:behaviors>
        <w:description w:val=""/>
        <w:guid w:val="{3618a8ad-b3f7-4e64-ab6d-a2787f1185c6}"/>
      </w:docPartPr>
      <w:docPartBody>
        <w:p>
          <w:r>
            <w:rPr>
              <w:color w:val="808080"/>
            </w:rPr>
            <w:t>单击此处输入文字。</w:t>
          </w:r>
        </w:p>
      </w:docPartBody>
    </w:docPart>
    <w:docPart>
      <w:docPartPr>
        <w:name w:val="{b05f2a96-adf3-4a5a-b32a-7e7006623b26}"/>
        <w:style w:val=""/>
        <w:category>
          <w:name w:val="常规"/>
          <w:gallery w:val="placeholder"/>
        </w:category>
        <w:types>
          <w:type w:val="bbPlcHdr"/>
        </w:types>
        <w:behaviors>
          <w:behavior w:val="content"/>
        </w:behaviors>
        <w:description w:val=""/>
        <w:guid w:val="{b05f2a96-adf3-4a5a-b32a-7e7006623b26}"/>
      </w:docPartPr>
      <w:docPartBody>
        <w:p>
          <w:r>
            <w:rPr>
              <w:color w:val="808080"/>
            </w:rPr>
            <w:t>单击此处输入文字。</w:t>
          </w:r>
        </w:p>
      </w:docPartBody>
    </w:docPart>
    <w:docPart>
      <w:docPartPr>
        <w:name w:val="{e87a7c0e-4fcf-4b3e-92ef-04739ed8d7a7}"/>
        <w:style w:val=""/>
        <w:category>
          <w:name w:val="常规"/>
          <w:gallery w:val="placeholder"/>
        </w:category>
        <w:types>
          <w:type w:val="bbPlcHdr"/>
        </w:types>
        <w:behaviors>
          <w:behavior w:val="content"/>
        </w:behaviors>
        <w:description w:val=""/>
        <w:guid w:val="{e87a7c0e-4fcf-4b3e-92ef-04739ed8d7a7}"/>
      </w:docPartPr>
      <w:docPartBody>
        <w:p>
          <w:r>
            <w:rPr>
              <w:color w:val="808080"/>
            </w:rPr>
            <w:t>单击此处输入文字。</w:t>
          </w:r>
        </w:p>
      </w:docPartBody>
    </w:docPart>
    <w:docPart>
      <w:docPartPr>
        <w:name w:val="{d3a00588-7feb-4946-9903-d39ff36143fa}"/>
        <w:style w:val=""/>
        <w:category>
          <w:name w:val="常规"/>
          <w:gallery w:val="placeholder"/>
        </w:category>
        <w:types>
          <w:type w:val="bbPlcHdr"/>
        </w:types>
        <w:behaviors>
          <w:behavior w:val="content"/>
        </w:behaviors>
        <w:description w:val=""/>
        <w:guid w:val="{d3a00588-7feb-4946-9903-d39ff36143fa}"/>
      </w:docPartPr>
      <w:docPartBody>
        <w:p>
          <w:r>
            <w:rPr>
              <w:color w:val="808080"/>
            </w:rPr>
            <w:t>单击此处输入文字。</w:t>
          </w:r>
        </w:p>
      </w:docPartBody>
    </w:docPart>
    <w:docPart>
      <w:docPartPr>
        <w:name w:val="{f32a54a4-7265-4916-bcf5-6361e676d973}"/>
        <w:style w:val=""/>
        <w:category>
          <w:name w:val="常规"/>
          <w:gallery w:val="placeholder"/>
        </w:category>
        <w:types>
          <w:type w:val="bbPlcHdr"/>
        </w:types>
        <w:behaviors>
          <w:behavior w:val="content"/>
        </w:behaviors>
        <w:description w:val=""/>
        <w:guid w:val="{f32a54a4-7265-4916-bcf5-6361e676d973}"/>
      </w:docPartPr>
      <w:docPartBody>
        <w:p>
          <w:r>
            <w:rPr>
              <w:color w:val="808080"/>
            </w:rPr>
            <w:t>单击此处输入文字。</w:t>
          </w:r>
        </w:p>
      </w:docPartBody>
    </w:docPart>
    <w:docPart>
      <w:docPartPr>
        <w:name w:val="{664e95af-3b32-4fdf-9344-bd5eaa4753f9}"/>
        <w:style w:val=""/>
        <w:category>
          <w:name w:val="常规"/>
          <w:gallery w:val="placeholder"/>
        </w:category>
        <w:types>
          <w:type w:val="bbPlcHdr"/>
        </w:types>
        <w:behaviors>
          <w:behavior w:val="content"/>
        </w:behaviors>
        <w:description w:val=""/>
        <w:guid w:val="{664e95af-3b32-4fdf-9344-bd5eaa4753f9}"/>
      </w:docPartPr>
      <w:docPartBody>
        <w:p>
          <w:r>
            <w:rPr>
              <w:color w:val="808080"/>
            </w:rPr>
            <w:t>单击此处输入文字。</w:t>
          </w:r>
        </w:p>
      </w:docPartBody>
    </w:docPart>
    <w:docPart>
      <w:docPartPr>
        <w:name w:val="{f0382df5-09f1-46a0-9b97-ae7e838688eb}"/>
        <w:style w:val=""/>
        <w:category>
          <w:name w:val="常规"/>
          <w:gallery w:val="placeholder"/>
        </w:category>
        <w:types>
          <w:type w:val="bbPlcHdr"/>
        </w:types>
        <w:behaviors>
          <w:behavior w:val="content"/>
        </w:behaviors>
        <w:description w:val=""/>
        <w:guid w:val="{f0382df5-09f1-46a0-9b97-ae7e838688eb}"/>
      </w:docPartPr>
      <w:docPartBody>
        <w:p>
          <w:r>
            <w:rPr>
              <w:color w:val="808080"/>
            </w:rPr>
            <w:t>单击此处输入文字。</w:t>
          </w:r>
        </w:p>
      </w:docPartBody>
    </w:docPart>
    <w:docPart>
      <w:docPartPr>
        <w:name w:val="{3b536dba-c28c-4795-bb81-1e8056af0099}"/>
        <w:style w:val=""/>
        <w:category>
          <w:name w:val="常规"/>
          <w:gallery w:val="placeholder"/>
        </w:category>
        <w:types>
          <w:type w:val="bbPlcHdr"/>
        </w:types>
        <w:behaviors>
          <w:behavior w:val="content"/>
        </w:behaviors>
        <w:description w:val=""/>
        <w:guid w:val="{3b536dba-c28c-4795-bb81-1e8056af0099}"/>
      </w:docPartPr>
      <w:docPartBody>
        <w:p>
          <w:r>
            <w:rPr>
              <w:color w:val="808080"/>
            </w:rPr>
            <w:t>单击此处输入文字。</w:t>
          </w:r>
        </w:p>
      </w:docPartBody>
    </w:docPart>
    <w:docPart>
      <w:docPartPr>
        <w:name w:val="{2a9db427-470a-4dba-83e1-5e143dd9ffde}"/>
        <w:style w:val=""/>
        <w:category>
          <w:name w:val="常规"/>
          <w:gallery w:val="placeholder"/>
        </w:category>
        <w:types>
          <w:type w:val="bbPlcHdr"/>
        </w:types>
        <w:behaviors>
          <w:behavior w:val="content"/>
        </w:behaviors>
        <w:description w:val=""/>
        <w:guid w:val="{2a9db427-470a-4dba-83e1-5e143dd9ffde}"/>
      </w:docPartPr>
      <w:docPartBody>
        <w:p>
          <w:r>
            <w:rPr>
              <w:color w:val="808080"/>
            </w:rPr>
            <w:t>单击此处输入文字。</w:t>
          </w:r>
        </w:p>
      </w:docPartBody>
    </w:docPart>
    <w:docPart>
      <w:docPartPr>
        <w:name w:val="{d4a33203-44c8-45e3-9921-1e6010c9e61d}"/>
        <w:style w:val=""/>
        <w:category>
          <w:name w:val="常规"/>
          <w:gallery w:val="placeholder"/>
        </w:category>
        <w:types>
          <w:type w:val="bbPlcHdr"/>
        </w:types>
        <w:behaviors>
          <w:behavior w:val="content"/>
        </w:behaviors>
        <w:description w:val=""/>
        <w:guid w:val="{d4a33203-44c8-45e3-9921-1e6010c9e61d}"/>
      </w:docPartPr>
      <w:docPartBody>
        <w:p>
          <w:r>
            <w:rPr>
              <w:color w:val="808080"/>
            </w:rPr>
            <w:t>单击此处输入文字。</w:t>
          </w:r>
        </w:p>
      </w:docPartBody>
    </w:docPart>
    <w:docPart>
      <w:docPartPr>
        <w:name w:val="{44210b6b-059c-4331-8142-c66e1a95550f}"/>
        <w:style w:val=""/>
        <w:category>
          <w:name w:val="常规"/>
          <w:gallery w:val="placeholder"/>
        </w:category>
        <w:types>
          <w:type w:val="bbPlcHdr"/>
        </w:types>
        <w:behaviors>
          <w:behavior w:val="content"/>
        </w:behaviors>
        <w:description w:val=""/>
        <w:guid w:val="{44210b6b-059c-4331-8142-c66e1a95550f}"/>
      </w:docPartPr>
      <w:docPartBody>
        <w:p>
          <w:r>
            <w:rPr>
              <w:color w:val="808080"/>
            </w:rPr>
            <w:t>单击此处输入文字。</w:t>
          </w:r>
        </w:p>
      </w:docPartBody>
    </w:docPart>
    <w:docPart>
      <w:docPartPr>
        <w:name w:val="{39cfe659-9ae6-437a-b9a0-b78a2aa88e96}"/>
        <w:style w:val=""/>
        <w:category>
          <w:name w:val="常规"/>
          <w:gallery w:val="placeholder"/>
        </w:category>
        <w:types>
          <w:type w:val="bbPlcHdr"/>
        </w:types>
        <w:behaviors>
          <w:behavior w:val="content"/>
        </w:behaviors>
        <w:description w:val=""/>
        <w:guid w:val="{39cfe659-9ae6-437a-b9a0-b78a2aa88e96}"/>
      </w:docPartPr>
      <w:docPartBody>
        <w:p>
          <w:r>
            <w:rPr>
              <w:color w:val="808080"/>
            </w:rPr>
            <w:t>单击此处输入文字。</w:t>
          </w:r>
        </w:p>
      </w:docPartBody>
    </w:docPart>
    <w:docPart>
      <w:docPartPr>
        <w:name w:val="{852a0b05-95c9-4544-a8f1-952ef2df5f09}"/>
        <w:style w:val=""/>
        <w:category>
          <w:name w:val="常规"/>
          <w:gallery w:val="placeholder"/>
        </w:category>
        <w:types>
          <w:type w:val="bbPlcHdr"/>
        </w:types>
        <w:behaviors>
          <w:behavior w:val="content"/>
        </w:behaviors>
        <w:description w:val=""/>
        <w:guid w:val="{852a0b05-95c9-4544-a8f1-952ef2df5f09}"/>
      </w:docPartPr>
      <w:docPartBody>
        <w:p>
          <w:r>
            <w:rPr>
              <w:color w:val="808080"/>
            </w:rPr>
            <w:t>单击此处输入文字。</w:t>
          </w:r>
        </w:p>
      </w:docPartBody>
    </w:docPart>
    <w:docPart>
      <w:docPartPr>
        <w:name w:val="{cc2e977c-2458-44c4-b2f8-ea7a4dffe75d}"/>
        <w:style w:val=""/>
        <w:category>
          <w:name w:val="常规"/>
          <w:gallery w:val="placeholder"/>
        </w:category>
        <w:types>
          <w:type w:val="bbPlcHdr"/>
        </w:types>
        <w:behaviors>
          <w:behavior w:val="content"/>
        </w:behaviors>
        <w:description w:val=""/>
        <w:guid w:val="{cc2e977c-2458-44c4-b2f8-ea7a4dffe75d}"/>
      </w:docPartPr>
      <w:docPartBody>
        <w:p>
          <w:r>
            <w:rPr>
              <w:color w:val="808080"/>
            </w:rPr>
            <w:t>单击此处输入文字。</w:t>
          </w:r>
        </w:p>
      </w:docPartBody>
    </w:docPart>
    <w:docPart>
      <w:docPartPr>
        <w:name w:val="{c3f33f5b-eaac-4aae-8b99-4ba62b02a4eb}"/>
        <w:style w:val=""/>
        <w:category>
          <w:name w:val="常规"/>
          <w:gallery w:val="placeholder"/>
        </w:category>
        <w:types>
          <w:type w:val="bbPlcHdr"/>
        </w:types>
        <w:behaviors>
          <w:behavior w:val="content"/>
        </w:behaviors>
        <w:description w:val=""/>
        <w:guid w:val="{c3f33f5b-eaac-4aae-8b99-4ba62b02a4eb}"/>
      </w:docPartPr>
      <w:docPartBody>
        <w:p>
          <w:r>
            <w:rPr>
              <w:color w:val="808080"/>
            </w:rPr>
            <w:t>单击此处输入文字。</w:t>
          </w:r>
        </w:p>
      </w:docPartBody>
    </w:docPart>
    <w:docPart>
      <w:docPartPr>
        <w:name w:val="{8de918db-f795-4c5c-b571-89e75c0e8785}"/>
        <w:style w:val=""/>
        <w:category>
          <w:name w:val="常规"/>
          <w:gallery w:val="placeholder"/>
        </w:category>
        <w:types>
          <w:type w:val="bbPlcHdr"/>
        </w:types>
        <w:behaviors>
          <w:behavior w:val="content"/>
        </w:behaviors>
        <w:description w:val=""/>
        <w:guid w:val="{8de918db-f795-4c5c-b571-89e75c0e8785}"/>
      </w:docPartPr>
      <w:docPartBody>
        <w:p>
          <w:r>
            <w:rPr>
              <w:color w:val="808080"/>
            </w:rPr>
            <w:t>单击此处输入文字。</w:t>
          </w:r>
        </w:p>
      </w:docPartBody>
    </w:docPart>
    <w:docPart>
      <w:docPartPr>
        <w:name w:val="{12a9df07-937f-4af8-889e-f38b64da163c}"/>
        <w:style w:val=""/>
        <w:category>
          <w:name w:val="常规"/>
          <w:gallery w:val="placeholder"/>
        </w:category>
        <w:types>
          <w:type w:val="bbPlcHdr"/>
        </w:types>
        <w:behaviors>
          <w:behavior w:val="content"/>
        </w:behaviors>
        <w:description w:val=""/>
        <w:guid w:val="{12a9df07-937f-4af8-889e-f38b64da163c}"/>
      </w:docPartPr>
      <w:docPartBody>
        <w:p>
          <w:r>
            <w:rPr>
              <w:color w:val="808080"/>
            </w:rPr>
            <w:t>单击此处输入文字。</w:t>
          </w:r>
        </w:p>
      </w:docPartBody>
    </w:docPart>
    <w:docPart>
      <w:docPartPr>
        <w:name w:val="{8028ae46-8c53-4a6a-9491-61a20ef41e84}"/>
        <w:style w:val=""/>
        <w:category>
          <w:name w:val="常规"/>
          <w:gallery w:val="placeholder"/>
        </w:category>
        <w:types>
          <w:type w:val="bbPlcHdr"/>
        </w:types>
        <w:behaviors>
          <w:behavior w:val="content"/>
        </w:behaviors>
        <w:description w:val=""/>
        <w:guid w:val="{8028ae46-8c53-4a6a-9491-61a20ef41e84}"/>
      </w:docPartPr>
      <w:docPartBody>
        <w:p>
          <w:r>
            <w:rPr>
              <w:color w:val="808080"/>
            </w:rPr>
            <w:t>单击此处输入文字。</w:t>
          </w:r>
        </w:p>
      </w:docPartBody>
    </w:docPart>
    <w:docPart>
      <w:docPartPr>
        <w:name w:val="{f3a0b6a1-9696-49b2-82f1-0d3156e36efa}"/>
        <w:style w:val=""/>
        <w:category>
          <w:name w:val="常规"/>
          <w:gallery w:val="placeholder"/>
        </w:category>
        <w:types>
          <w:type w:val="bbPlcHdr"/>
        </w:types>
        <w:behaviors>
          <w:behavior w:val="content"/>
        </w:behaviors>
        <w:description w:val=""/>
        <w:guid w:val="{f3a0b6a1-9696-49b2-82f1-0d3156e36efa}"/>
      </w:docPartPr>
      <w:docPartBody>
        <w:p>
          <w:r>
            <w:rPr>
              <w:color w:val="808080"/>
            </w:rPr>
            <w:t>单击此处输入文字。</w:t>
          </w:r>
        </w:p>
      </w:docPartBody>
    </w:docPart>
    <w:docPart>
      <w:docPartPr>
        <w:name w:val="{b3ea5ce3-e12c-4036-9efb-70e29603e14d}"/>
        <w:style w:val=""/>
        <w:category>
          <w:name w:val="常规"/>
          <w:gallery w:val="placeholder"/>
        </w:category>
        <w:types>
          <w:type w:val="bbPlcHdr"/>
        </w:types>
        <w:behaviors>
          <w:behavior w:val="content"/>
        </w:behaviors>
        <w:description w:val=""/>
        <w:guid w:val="{b3ea5ce3-e12c-4036-9efb-70e29603e14d}"/>
      </w:docPartPr>
      <w:docPartBody>
        <w:p>
          <w:r>
            <w:rPr>
              <w:color w:val="808080"/>
            </w:rPr>
            <w:t>单击此处输入文字。</w:t>
          </w:r>
        </w:p>
      </w:docPartBody>
    </w:docPart>
    <w:docPart>
      <w:docPartPr>
        <w:name w:val="{983b9ab7-34e5-4554-b468-5105e3687fd0}"/>
        <w:style w:val=""/>
        <w:category>
          <w:name w:val="常规"/>
          <w:gallery w:val="placeholder"/>
        </w:category>
        <w:types>
          <w:type w:val="bbPlcHdr"/>
        </w:types>
        <w:behaviors>
          <w:behavior w:val="content"/>
        </w:behaviors>
        <w:description w:val=""/>
        <w:guid w:val="{983b9ab7-34e5-4554-b468-5105e3687fd0}"/>
      </w:docPartPr>
      <w:docPartBody>
        <w:p>
          <w:r>
            <w:rPr>
              <w:color w:val="808080"/>
            </w:rPr>
            <w:t>单击此处输入文字。</w:t>
          </w:r>
        </w:p>
      </w:docPartBody>
    </w:docPart>
    <w:docPart>
      <w:docPartPr>
        <w:name w:val="{faa468c4-43ab-40cf-9f0e-1b1bb8e0ba3c}"/>
        <w:style w:val=""/>
        <w:category>
          <w:name w:val="常规"/>
          <w:gallery w:val="placeholder"/>
        </w:category>
        <w:types>
          <w:type w:val="bbPlcHdr"/>
        </w:types>
        <w:behaviors>
          <w:behavior w:val="content"/>
        </w:behaviors>
        <w:description w:val=""/>
        <w:guid w:val="{faa468c4-43ab-40cf-9f0e-1b1bb8e0ba3c}"/>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2018-12-24T03:49:00Z</dcterms:created>
  <dc:creator>yu</dc:creator>
  <cp:lastModifiedBy>yuuu</cp:lastModifiedBy>
  <dcterms:modified xsi:type="dcterms:W3CDTF">2019-04-24T03:54:53Z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